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F86F7" w14:textId="3A36E7BE" w:rsidR="00A04659" w:rsidRDefault="005271EB" w:rsidP="000B5290">
      <w:pPr>
        <w:rPr>
          <w:b/>
          <w:bCs/>
          <w:sz w:val="28"/>
          <w:szCs w:val="28"/>
        </w:rPr>
      </w:pPr>
      <w:r>
        <w:rPr>
          <w:b/>
          <w:bCs/>
          <w:sz w:val="28"/>
          <w:szCs w:val="28"/>
        </w:rPr>
        <w:t>Een</w:t>
      </w:r>
      <w:r w:rsidR="007A0787" w:rsidRPr="005F3CB0">
        <w:rPr>
          <w:b/>
          <w:bCs/>
          <w:sz w:val="28"/>
          <w:szCs w:val="28"/>
        </w:rPr>
        <w:t xml:space="preserve"> (pedagogisch didactische) visie op </w:t>
      </w:r>
      <w:proofErr w:type="spellStart"/>
      <w:r w:rsidR="007A0787" w:rsidRPr="005F3CB0">
        <w:rPr>
          <w:b/>
          <w:bCs/>
          <w:sz w:val="28"/>
          <w:szCs w:val="28"/>
        </w:rPr>
        <w:t>blended</w:t>
      </w:r>
      <w:proofErr w:type="spellEnd"/>
      <w:r w:rsidR="007A0787" w:rsidRPr="005F3CB0">
        <w:rPr>
          <w:b/>
          <w:bCs/>
          <w:sz w:val="28"/>
          <w:szCs w:val="28"/>
        </w:rPr>
        <w:t xml:space="preserve"> </w:t>
      </w:r>
      <w:proofErr w:type="spellStart"/>
      <w:r w:rsidR="007A0787" w:rsidRPr="005F3CB0">
        <w:rPr>
          <w:b/>
          <w:bCs/>
          <w:sz w:val="28"/>
          <w:szCs w:val="28"/>
        </w:rPr>
        <w:t>learning</w:t>
      </w:r>
      <w:proofErr w:type="spellEnd"/>
      <w:r w:rsidR="007A0787" w:rsidRPr="005F3CB0">
        <w:rPr>
          <w:b/>
          <w:bCs/>
          <w:sz w:val="28"/>
          <w:szCs w:val="28"/>
        </w:rPr>
        <w:t xml:space="preserve"> vanuit de masters</w:t>
      </w:r>
    </w:p>
    <w:p w14:paraId="676542A8" w14:textId="6E40893C" w:rsidR="00F7019E" w:rsidRPr="00110A6F" w:rsidRDefault="00BD2449" w:rsidP="000B5290">
      <w:r w:rsidRPr="00110A6F">
        <w:t>Sonia Abrantes Garcêz Palha; Ferry Haan; Vincent Hernot; Daniela Polisenska; Josefien Sweep;</w:t>
      </w:r>
      <w:r w:rsidR="000A3CCE" w:rsidRPr="00110A6F">
        <w:t xml:space="preserve"> Camille Welie;</w:t>
      </w:r>
      <w:r w:rsidRPr="00110A6F">
        <w:t xml:space="preserve"> André Koffeman (verslag)</w:t>
      </w:r>
    </w:p>
    <w:p w14:paraId="3FE10D27" w14:textId="24466304" w:rsidR="00A670A6" w:rsidRDefault="00A670A6" w:rsidP="000B5290">
      <w:pPr>
        <w:rPr>
          <w:b/>
          <w:bCs/>
        </w:rPr>
      </w:pPr>
      <w:r>
        <w:rPr>
          <w:b/>
          <w:bCs/>
        </w:rPr>
        <w:t>Wat is de opdracht?</w:t>
      </w:r>
    </w:p>
    <w:p w14:paraId="0160FABF" w14:textId="068CE4F0" w:rsidR="007A4359" w:rsidRDefault="005271EB" w:rsidP="00A670A6">
      <w:r>
        <w:t>We hebben de o</w:t>
      </w:r>
      <w:r w:rsidR="007A4359">
        <w:t>pdracht</w:t>
      </w:r>
      <w:r>
        <w:t xml:space="preserve"> als volgt geïnterpreteerd</w:t>
      </w:r>
      <w:r w:rsidR="007A4359">
        <w:t xml:space="preserve">: </w:t>
      </w:r>
    </w:p>
    <w:p w14:paraId="29CFB1A3" w14:textId="1753E014" w:rsidR="007A4359" w:rsidRPr="007A4359" w:rsidRDefault="005271EB" w:rsidP="007A4359">
      <w:pPr>
        <w:ind w:left="708"/>
        <w:rPr>
          <w:sz w:val="20"/>
          <w:szCs w:val="20"/>
        </w:rPr>
      </w:pPr>
      <w:r>
        <w:rPr>
          <w:sz w:val="20"/>
          <w:szCs w:val="20"/>
        </w:rPr>
        <w:t xml:space="preserve">Ontwikkel </w:t>
      </w:r>
      <w:r w:rsidR="007A4359" w:rsidRPr="007A4359">
        <w:rPr>
          <w:sz w:val="20"/>
          <w:szCs w:val="20"/>
        </w:rPr>
        <w:t>n</w:t>
      </w:r>
      <w:r w:rsidR="00A670A6" w:rsidRPr="007A4359">
        <w:rPr>
          <w:sz w:val="20"/>
          <w:szCs w:val="20"/>
        </w:rPr>
        <w:t>amens het</w:t>
      </w:r>
      <w:r>
        <w:rPr>
          <w:sz w:val="20"/>
          <w:szCs w:val="20"/>
        </w:rPr>
        <w:t xml:space="preserve"> master</w:t>
      </w:r>
      <w:r w:rsidR="00A670A6" w:rsidRPr="007A4359">
        <w:rPr>
          <w:sz w:val="20"/>
          <w:szCs w:val="20"/>
        </w:rPr>
        <w:t xml:space="preserve">cluster </w:t>
      </w:r>
      <w:r>
        <w:rPr>
          <w:sz w:val="20"/>
          <w:szCs w:val="20"/>
        </w:rPr>
        <w:t>een</w:t>
      </w:r>
      <w:r w:rsidR="00A670A6" w:rsidRPr="007A4359">
        <w:rPr>
          <w:sz w:val="20"/>
          <w:szCs w:val="20"/>
        </w:rPr>
        <w:t xml:space="preserve"> (pedagogisch</w:t>
      </w:r>
      <w:r w:rsidR="00186EF7">
        <w:rPr>
          <w:sz w:val="20"/>
          <w:szCs w:val="20"/>
        </w:rPr>
        <w:t>-</w:t>
      </w:r>
      <w:r w:rsidR="00A670A6" w:rsidRPr="007A4359">
        <w:rPr>
          <w:sz w:val="20"/>
          <w:szCs w:val="20"/>
        </w:rPr>
        <w:t xml:space="preserve">didactische) visie op </w:t>
      </w:r>
      <w:proofErr w:type="spellStart"/>
      <w:r w:rsidR="00A670A6" w:rsidRPr="00BD2449">
        <w:rPr>
          <w:i/>
          <w:iCs/>
          <w:sz w:val="20"/>
          <w:szCs w:val="20"/>
        </w:rPr>
        <w:t>blended</w:t>
      </w:r>
      <w:proofErr w:type="spellEnd"/>
      <w:r w:rsidR="00A670A6" w:rsidRPr="00BD2449">
        <w:rPr>
          <w:i/>
          <w:iCs/>
          <w:sz w:val="20"/>
          <w:szCs w:val="20"/>
        </w:rPr>
        <w:t xml:space="preserve"> </w:t>
      </w:r>
      <w:proofErr w:type="spellStart"/>
      <w:r w:rsidR="00A670A6" w:rsidRPr="00BD2449">
        <w:rPr>
          <w:i/>
          <w:iCs/>
          <w:sz w:val="20"/>
          <w:szCs w:val="20"/>
        </w:rPr>
        <w:t>learning</w:t>
      </w:r>
      <w:proofErr w:type="spellEnd"/>
      <w:r w:rsidR="00A670A6" w:rsidRPr="007A4359">
        <w:rPr>
          <w:sz w:val="20"/>
          <w:szCs w:val="20"/>
        </w:rPr>
        <w:t xml:space="preserve"> </w:t>
      </w:r>
      <w:r>
        <w:rPr>
          <w:sz w:val="20"/>
          <w:szCs w:val="20"/>
        </w:rPr>
        <w:t xml:space="preserve">als bijdrage </w:t>
      </w:r>
      <w:r w:rsidR="00186EF7">
        <w:rPr>
          <w:sz w:val="20"/>
          <w:szCs w:val="20"/>
        </w:rPr>
        <w:t>aan</w:t>
      </w:r>
      <w:r>
        <w:rPr>
          <w:sz w:val="20"/>
          <w:szCs w:val="20"/>
        </w:rPr>
        <w:t xml:space="preserve"> een nog te ontwikkelen gemeenschappelijke FOO-visie. Houd daarbij rekening met zaken die specifiek gelden voor de masterstudenten (</w:t>
      </w:r>
      <w:r w:rsidR="00980816">
        <w:rPr>
          <w:sz w:val="20"/>
          <w:szCs w:val="20"/>
        </w:rPr>
        <w:t xml:space="preserve">studentkenmerken, </w:t>
      </w:r>
      <w:r>
        <w:rPr>
          <w:sz w:val="20"/>
          <w:szCs w:val="20"/>
        </w:rPr>
        <w:t>deeltijd, werk, beoogde leeruitkomsten</w:t>
      </w:r>
      <w:r w:rsidR="00276AB0">
        <w:rPr>
          <w:sz w:val="20"/>
          <w:szCs w:val="20"/>
        </w:rPr>
        <w:t>)</w:t>
      </w:r>
      <w:r>
        <w:rPr>
          <w:sz w:val="20"/>
          <w:szCs w:val="20"/>
        </w:rPr>
        <w:t>.</w:t>
      </w:r>
    </w:p>
    <w:p w14:paraId="099CED28" w14:textId="0870EA4F" w:rsidR="004C3E4C" w:rsidRPr="004C3E4C" w:rsidRDefault="004C3E4C" w:rsidP="007A4359">
      <w:pPr>
        <w:rPr>
          <w:b/>
          <w:bCs/>
        </w:rPr>
      </w:pPr>
      <w:r w:rsidRPr="004C3E4C">
        <w:rPr>
          <w:b/>
          <w:bCs/>
        </w:rPr>
        <w:t>Werkwijze</w:t>
      </w:r>
    </w:p>
    <w:p w14:paraId="377DE916" w14:textId="7557D5EA" w:rsidR="004C3E4C" w:rsidRDefault="00276AB0" w:rsidP="007A4359">
      <w:r>
        <w:t>De werkgroep heeft een aantal stukken bestudeerd en is tweemaal bij elkaar geweest om tot een concepttekst te komen die vervolgens is voorgelegd aan de collega’s</w:t>
      </w:r>
      <w:r w:rsidR="00186EF7">
        <w:t xml:space="preserve"> die</w:t>
      </w:r>
      <w:r>
        <w:t xml:space="preserve"> werkzaam </w:t>
      </w:r>
      <w:r w:rsidR="00186EF7">
        <w:t xml:space="preserve">zijn </w:t>
      </w:r>
      <w:r>
        <w:t>in de master</w:t>
      </w:r>
      <w:r w:rsidR="00BD2449">
        <w:t>, met het verzoek om feedback</w:t>
      </w:r>
      <w:r w:rsidR="00186EF7">
        <w:t xml:space="preserve"> te geven</w:t>
      </w:r>
      <w:r>
        <w:t xml:space="preserve">. </w:t>
      </w:r>
      <w:r w:rsidRPr="00110A6F">
        <w:t>De tekst die hier voorligt is het resultaat daarvan.</w:t>
      </w:r>
    </w:p>
    <w:p w14:paraId="374D79D0" w14:textId="13B12F7C" w:rsidR="000B5290" w:rsidRDefault="000B5290">
      <w:pPr>
        <w:rPr>
          <w:b/>
          <w:bCs/>
        </w:rPr>
      </w:pPr>
      <w:r>
        <w:rPr>
          <w:b/>
          <w:bCs/>
        </w:rPr>
        <w:t>Wat is de context</w:t>
      </w:r>
      <w:r w:rsidR="00276AB0">
        <w:rPr>
          <w:b/>
          <w:bCs/>
        </w:rPr>
        <w:t xml:space="preserve"> </w:t>
      </w:r>
      <w:r w:rsidR="00186EF7">
        <w:rPr>
          <w:b/>
          <w:bCs/>
        </w:rPr>
        <w:t>en relevantie van</w:t>
      </w:r>
      <w:r w:rsidR="00276AB0">
        <w:rPr>
          <w:b/>
          <w:bCs/>
        </w:rPr>
        <w:t xml:space="preserve"> de visie</w:t>
      </w:r>
      <w:r>
        <w:rPr>
          <w:b/>
          <w:bCs/>
        </w:rPr>
        <w:t>?</w:t>
      </w:r>
    </w:p>
    <w:p w14:paraId="5224E755" w14:textId="486FAD37" w:rsidR="00BD2449" w:rsidRPr="00BD2449" w:rsidRDefault="00BD2449">
      <w:pPr>
        <w:rPr>
          <w:b/>
          <w:bCs/>
          <w:i/>
          <w:iCs/>
        </w:rPr>
      </w:pPr>
      <w:r w:rsidRPr="00BD2449">
        <w:rPr>
          <w:b/>
          <w:bCs/>
          <w:i/>
          <w:iCs/>
        </w:rPr>
        <w:t>Praktijkcontext</w:t>
      </w:r>
    </w:p>
    <w:p w14:paraId="42299A56" w14:textId="49761588" w:rsidR="005F3CB0" w:rsidRPr="005F3CB0" w:rsidRDefault="005F3CB0">
      <w:r w:rsidRPr="005F3CB0">
        <w:t xml:space="preserve">Van breed naar smal: </w:t>
      </w:r>
    </w:p>
    <w:p w14:paraId="378520EE" w14:textId="7F7258BD" w:rsidR="000B5290" w:rsidRDefault="000B5290" w:rsidP="000B5290">
      <w:pPr>
        <w:pStyle w:val="ListParagraph"/>
        <w:numPr>
          <w:ilvl w:val="0"/>
          <w:numId w:val="1"/>
        </w:numPr>
      </w:pPr>
      <w:r>
        <w:t xml:space="preserve">De Minister zegt dat er meer </w:t>
      </w:r>
      <w:r w:rsidR="2D65468F">
        <w:t xml:space="preserve">docenten </w:t>
      </w:r>
      <w:r w:rsidR="00186EF7">
        <w:t xml:space="preserve">op masterniveau </w:t>
      </w:r>
      <w:r>
        <w:t xml:space="preserve">moeten worden opgeleid en dat daarvoor </w:t>
      </w:r>
      <w:r w:rsidR="005F3CB0">
        <w:t xml:space="preserve">meer </w:t>
      </w:r>
      <w:proofErr w:type="spellStart"/>
      <w:r>
        <w:t>vraaggestuurd</w:t>
      </w:r>
      <w:proofErr w:type="spellEnd"/>
      <w:r>
        <w:t xml:space="preserve"> en flexibel onderwijs </w:t>
      </w:r>
      <w:r w:rsidR="28E709D7">
        <w:t>moet worden aangeboden</w:t>
      </w:r>
      <w:r>
        <w:t>. Dat wordt onder meer vertaald als de ambitie om tot programma’s te komen die gericht zijn op ‘leeruitkomsten’</w:t>
      </w:r>
      <w:r w:rsidR="005F3CB0">
        <w:t xml:space="preserve"> en minder op programma’s. </w:t>
      </w:r>
      <w:proofErr w:type="spellStart"/>
      <w:r w:rsidR="005F3CB0" w:rsidRPr="55E39030">
        <w:rPr>
          <w:i/>
          <w:iCs/>
        </w:rPr>
        <w:t>Blended</w:t>
      </w:r>
      <w:proofErr w:type="spellEnd"/>
      <w:r w:rsidR="005F3CB0" w:rsidRPr="55E39030">
        <w:rPr>
          <w:i/>
          <w:iCs/>
        </w:rPr>
        <w:t xml:space="preserve"> </w:t>
      </w:r>
      <w:proofErr w:type="spellStart"/>
      <w:r w:rsidR="005F3CB0" w:rsidRPr="55E39030">
        <w:rPr>
          <w:i/>
          <w:iCs/>
        </w:rPr>
        <w:t>learning</w:t>
      </w:r>
      <w:proofErr w:type="spellEnd"/>
      <w:r w:rsidR="005F3CB0">
        <w:t xml:space="preserve"> zou daarbij een hulp</w:t>
      </w:r>
      <w:r w:rsidR="00FA4F42">
        <w:t>m</w:t>
      </w:r>
      <w:r w:rsidR="005F3CB0">
        <w:t xml:space="preserve">iddel kunnen </w:t>
      </w:r>
      <w:r w:rsidR="00186EF7">
        <w:t>zijn</w:t>
      </w:r>
      <w:r w:rsidR="005F3CB0">
        <w:t xml:space="preserve">. </w:t>
      </w:r>
      <w:r w:rsidR="236B59B1">
        <w:t>Dit is opgenomen in het bestuursakkoord tussen de Vereniging Hogescholen en de minister.</w:t>
      </w:r>
    </w:p>
    <w:p w14:paraId="094D1A57" w14:textId="52942248" w:rsidR="000B5290" w:rsidRDefault="000B5290" w:rsidP="000B5290">
      <w:pPr>
        <w:pStyle w:val="ListParagraph"/>
        <w:numPr>
          <w:ilvl w:val="0"/>
          <w:numId w:val="1"/>
        </w:numPr>
        <w:spacing w:before="240"/>
      </w:pPr>
      <w:r>
        <w:t xml:space="preserve">De HvA zet hoog in op flexibilisering. Het instellingsplan maakt </w:t>
      </w:r>
      <w:r w:rsidR="005F3CB0">
        <w:t xml:space="preserve">daarbij </w:t>
      </w:r>
      <w:r>
        <w:t xml:space="preserve">onderscheid tussen </w:t>
      </w:r>
    </w:p>
    <w:p w14:paraId="6DF820D8" w14:textId="77777777" w:rsidR="000B5290" w:rsidRDefault="000B5290" w:rsidP="000B5290">
      <w:pPr>
        <w:pStyle w:val="ListParagraph"/>
        <w:numPr>
          <w:ilvl w:val="1"/>
          <w:numId w:val="1"/>
        </w:numPr>
        <w:spacing w:before="240"/>
      </w:pPr>
      <w:r>
        <w:t>micro (</w:t>
      </w:r>
      <w:r w:rsidRPr="009A0394">
        <w:t>persoonlijke routes binnen modules</w:t>
      </w:r>
      <w:r>
        <w:t xml:space="preserve">); </w:t>
      </w:r>
    </w:p>
    <w:p w14:paraId="6310E2DF" w14:textId="77777777" w:rsidR="000B5290" w:rsidRDefault="000B5290" w:rsidP="000B5290">
      <w:pPr>
        <w:pStyle w:val="ListParagraph"/>
        <w:numPr>
          <w:ilvl w:val="1"/>
          <w:numId w:val="1"/>
        </w:numPr>
        <w:spacing w:before="240"/>
      </w:pPr>
      <w:proofErr w:type="spellStart"/>
      <w:r>
        <w:t>meso</w:t>
      </w:r>
      <w:proofErr w:type="spellEnd"/>
      <w:r>
        <w:t xml:space="preserve"> (</w:t>
      </w:r>
      <w:r w:rsidRPr="009A0394">
        <w:t>persoonlijke routes in het aanbod van modules, binnen de opleiding, binnen de faculteit en over de faculteiten heen</w:t>
      </w:r>
      <w:r>
        <w:t xml:space="preserve">) en </w:t>
      </w:r>
    </w:p>
    <w:p w14:paraId="7148CC02" w14:textId="27C6CC04" w:rsidR="005F3CB0" w:rsidRDefault="000B5290" w:rsidP="005F3CB0">
      <w:pPr>
        <w:pStyle w:val="ListParagraph"/>
        <w:numPr>
          <w:ilvl w:val="1"/>
          <w:numId w:val="1"/>
        </w:numPr>
        <w:spacing w:before="240"/>
      </w:pPr>
      <w:r>
        <w:t>macro (</w:t>
      </w:r>
      <w:r w:rsidRPr="009A0394">
        <w:t xml:space="preserve">routes vanuit leeruitkomsten </w:t>
      </w:r>
      <w:r w:rsidR="00276AB0" w:rsidRPr="009A0394">
        <w:t>i.p.v.</w:t>
      </w:r>
      <w:r w:rsidRPr="009A0394">
        <w:t xml:space="preserve"> een programma-aanbod</w:t>
      </w:r>
      <w:r>
        <w:t>)</w:t>
      </w:r>
    </w:p>
    <w:p w14:paraId="097C49DC" w14:textId="6B2D81B5" w:rsidR="005F3CB0" w:rsidRDefault="005F3CB0" w:rsidP="005F3CB0">
      <w:pPr>
        <w:pStyle w:val="ListParagraph"/>
        <w:spacing w:before="240"/>
      </w:pPr>
      <w:r>
        <w:t xml:space="preserve">Ook hier geldt dat </w:t>
      </w:r>
      <w:proofErr w:type="spellStart"/>
      <w:r w:rsidRPr="00BD2449">
        <w:rPr>
          <w:i/>
          <w:iCs/>
        </w:rPr>
        <w:t>blended</w:t>
      </w:r>
      <w:proofErr w:type="spellEnd"/>
      <w:r w:rsidRPr="00BD2449">
        <w:rPr>
          <w:i/>
          <w:iCs/>
        </w:rPr>
        <w:t xml:space="preserve"> </w:t>
      </w:r>
      <w:proofErr w:type="spellStart"/>
      <w:r w:rsidRPr="00BD2449">
        <w:rPr>
          <w:i/>
          <w:iCs/>
        </w:rPr>
        <w:t>learning</w:t>
      </w:r>
      <w:proofErr w:type="spellEnd"/>
      <w:r>
        <w:t xml:space="preserve"> daarbij een hulp</w:t>
      </w:r>
      <w:r w:rsidR="00CA25DD">
        <w:t>m</w:t>
      </w:r>
      <w:r>
        <w:t>iddel zou kunnen vormen</w:t>
      </w:r>
      <w:r w:rsidR="00276AB0">
        <w:t>, omdat dat de uitvoeringsmogelijkheden kan uitbreiden.</w:t>
      </w:r>
    </w:p>
    <w:p w14:paraId="3B40F85F" w14:textId="66A3A15E" w:rsidR="000B5290" w:rsidRDefault="007A4359" w:rsidP="000B5290">
      <w:pPr>
        <w:pStyle w:val="ListParagraph"/>
        <w:numPr>
          <w:ilvl w:val="0"/>
          <w:numId w:val="1"/>
        </w:numPr>
        <w:spacing w:before="240"/>
      </w:pPr>
      <w:r>
        <w:t xml:space="preserve">De </w:t>
      </w:r>
      <w:r w:rsidR="000B5290">
        <w:t>HvA</w:t>
      </w:r>
      <w:r>
        <w:t xml:space="preserve"> zegt verder</w:t>
      </w:r>
      <w:r w:rsidR="000B5290">
        <w:t xml:space="preserve">: </w:t>
      </w:r>
    </w:p>
    <w:p w14:paraId="7E50045D" w14:textId="79CC9134" w:rsidR="000B5290" w:rsidRDefault="000B5290" w:rsidP="000B5290">
      <w:pPr>
        <w:pStyle w:val="ListParagraph"/>
        <w:numPr>
          <w:ilvl w:val="1"/>
          <w:numId w:val="1"/>
        </w:numPr>
        <w:spacing w:before="240"/>
      </w:pPr>
      <w:r>
        <w:t xml:space="preserve">een student leert beter als er </w:t>
      </w:r>
      <w:r w:rsidR="00186EF7">
        <w:t>iets</w:t>
      </w:r>
      <w:r>
        <w:t xml:space="preserve"> te kiezen valt</w:t>
      </w:r>
      <w:r w:rsidR="00FA4F42">
        <w:t xml:space="preserve"> (en </w:t>
      </w:r>
      <w:proofErr w:type="spellStart"/>
      <w:r w:rsidR="00FA4F42" w:rsidRPr="00BD2449">
        <w:rPr>
          <w:i/>
          <w:iCs/>
        </w:rPr>
        <w:t>blended</w:t>
      </w:r>
      <w:proofErr w:type="spellEnd"/>
      <w:r w:rsidR="00FA4F42" w:rsidRPr="00BD2449">
        <w:rPr>
          <w:i/>
          <w:iCs/>
        </w:rPr>
        <w:t xml:space="preserve"> </w:t>
      </w:r>
      <w:proofErr w:type="spellStart"/>
      <w:r w:rsidR="00FA4F42" w:rsidRPr="00BD2449">
        <w:rPr>
          <w:i/>
          <w:iCs/>
        </w:rPr>
        <w:t>learning</w:t>
      </w:r>
      <w:proofErr w:type="spellEnd"/>
      <w:r w:rsidR="00FA4F42">
        <w:t xml:space="preserve"> kan daarbij een hulpmiddel zijn)</w:t>
      </w:r>
    </w:p>
    <w:p w14:paraId="3CA459BC" w14:textId="789FCDCD" w:rsidR="000B5290" w:rsidRDefault="000B5290" w:rsidP="000B5290">
      <w:pPr>
        <w:pStyle w:val="ListParagraph"/>
        <w:numPr>
          <w:ilvl w:val="1"/>
          <w:numId w:val="1"/>
        </w:numPr>
        <w:spacing w:before="240"/>
      </w:pPr>
      <w:proofErr w:type="spellStart"/>
      <w:r>
        <w:t>Zij-instroom</w:t>
      </w:r>
      <w:proofErr w:type="spellEnd"/>
      <w:r>
        <w:t xml:space="preserve"> zou bevorderd moeten worden</w:t>
      </w:r>
      <w:r w:rsidR="00FA4F42">
        <w:t xml:space="preserve"> (en </w:t>
      </w:r>
      <w:proofErr w:type="spellStart"/>
      <w:r w:rsidR="00FA4F42" w:rsidRPr="00BD2449">
        <w:rPr>
          <w:i/>
          <w:iCs/>
        </w:rPr>
        <w:t>blended</w:t>
      </w:r>
      <w:proofErr w:type="spellEnd"/>
      <w:r w:rsidR="00FA4F42" w:rsidRPr="00BD2449">
        <w:rPr>
          <w:i/>
          <w:iCs/>
        </w:rPr>
        <w:t xml:space="preserve"> </w:t>
      </w:r>
      <w:proofErr w:type="spellStart"/>
      <w:r w:rsidR="00FA4F42" w:rsidRPr="00BD2449">
        <w:rPr>
          <w:i/>
          <w:iCs/>
        </w:rPr>
        <w:t>learning</w:t>
      </w:r>
      <w:proofErr w:type="spellEnd"/>
      <w:r w:rsidR="00FA4F42">
        <w:t xml:space="preserve"> kan wellicht drempe</w:t>
      </w:r>
      <w:r w:rsidR="00276AB0">
        <w:t>l</w:t>
      </w:r>
      <w:r w:rsidR="00FA4F42">
        <w:t>verlagend werken)</w:t>
      </w:r>
    </w:p>
    <w:p w14:paraId="7876DC7E" w14:textId="1B94D6E0" w:rsidR="000B5290" w:rsidRDefault="000B5290" w:rsidP="000B5290">
      <w:pPr>
        <w:pStyle w:val="ListParagraph"/>
        <w:numPr>
          <w:ilvl w:val="0"/>
          <w:numId w:val="1"/>
        </w:numPr>
        <w:spacing w:before="240"/>
      </w:pPr>
      <w:r>
        <w:t>Alle docenten hebben het afgelopen jaar ervaring opgedaan met online leren. Dat betekent dat er urgentie gevoeld wordt (we moeten wel), maar ook dat er druk ervaren wordt (we moeten nog meer). De ene docent heeft positieve ervaringen opgedaan; de ander</w:t>
      </w:r>
      <w:r w:rsidR="007A4359">
        <w:t>e</w:t>
      </w:r>
      <w:r>
        <w:t xml:space="preserve"> wil</w:t>
      </w:r>
      <w:r w:rsidR="00186EF7">
        <w:t xml:space="preserve"> het</w:t>
      </w:r>
      <w:r>
        <w:t xml:space="preserve"> liefst snel terug</w:t>
      </w:r>
      <w:r w:rsidR="00186EF7">
        <w:t>keren</w:t>
      </w:r>
      <w:r>
        <w:t xml:space="preserve"> naar de oude situatie.</w:t>
      </w:r>
    </w:p>
    <w:p w14:paraId="5625EF5C" w14:textId="74E648E9" w:rsidR="00F60DE8" w:rsidRPr="00BD2449" w:rsidRDefault="005D1024" w:rsidP="001E592A">
      <w:pPr>
        <w:pStyle w:val="ListParagraph"/>
        <w:numPr>
          <w:ilvl w:val="0"/>
          <w:numId w:val="1"/>
        </w:numPr>
        <w:rPr>
          <w:b/>
          <w:bCs/>
        </w:rPr>
      </w:pPr>
      <w:r w:rsidRPr="005D1024">
        <w:t xml:space="preserve">De visie zou moeten aansluiten bij wat er al aan visies is geformuleerd. </w:t>
      </w:r>
    </w:p>
    <w:p w14:paraId="41880AC1" w14:textId="77777777" w:rsidR="00BD2449" w:rsidRPr="00BD2449" w:rsidRDefault="00BD2449" w:rsidP="00BD2449">
      <w:pPr>
        <w:pStyle w:val="ListParagraph"/>
        <w:rPr>
          <w:b/>
          <w:bCs/>
        </w:rPr>
      </w:pPr>
    </w:p>
    <w:p w14:paraId="4CD50413" w14:textId="1DD7A51F" w:rsidR="007A0787" w:rsidRPr="00BD2449" w:rsidRDefault="00BD2449">
      <w:pPr>
        <w:rPr>
          <w:b/>
          <w:bCs/>
          <w:i/>
          <w:iCs/>
        </w:rPr>
      </w:pPr>
      <w:r w:rsidRPr="00BD2449">
        <w:rPr>
          <w:b/>
          <w:bCs/>
          <w:i/>
          <w:iCs/>
        </w:rPr>
        <w:lastRenderedPageBreak/>
        <w:t>Theoretische context: w</w:t>
      </w:r>
      <w:r w:rsidR="007A0787" w:rsidRPr="00BD2449">
        <w:rPr>
          <w:b/>
          <w:bCs/>
          <w:i/>
          <w:iCs/>
        </w:rPr>
        <w:t>at zegt de literatuur</w:t>
      </w:r>
      <w:r w:rsidR="007A4359" w:rsidRPr="00BD2449">
        <w:rPr>
          <w:rStyle w:val="FootnoteReference"/>
          <w:b/>
          <w:bCs/>
          <w:i/>
          <w:iCs/>
        </w:rPr>
        <w:footnoteReference w:id="1"/>
      </w:r>
      <w:r w:rsidR="007A4359" w:rsidRPr="00BD2449">
        <w:rPr>
          <w:b/>
          <w:bCs/>
          <w:i/>
          <w:iCs/>
        </w:rPr>
        <w:t xml:space="preserve"> over visies op </w:t>
      </w:r>
      <w:proofErr w:type="spellStart"/>
      <w:r w:rsidR="007A4359" w:rsidRPr="00BD2449">
        <w:rPr>
          <w:b/>
          <w:bCs/>
          <w:i/>
          <w:iCs/>
        </w:rPr>
        <w:t>blended</w:t>
      </w:r>
      <w:proofErr w:type="spellEnd"/>
      <w:r w:rsidR="007A4359" w:rsidRPr="00BD2449">
        <w:rPr>
          <w:b/>
          <w:bCs/>
          <w:i/>
          <w:iCs/>
        </w:rPr>
        <w:t xml:space="preserve"> </w:t>
      </w:r>
      <w:proofErr w:type="spellStart"/>
      <w:r w:rsidR="007A4359" w:rsidRPr="00BD2449">
        <w:rPr>
          <w:b/>
          <w:bCs/>
          <w:i/>
          <w:iCs/>
        </w:rPr>
        <w:t>learning</w:t>
      </w:r>
      <w:proofErr w:type="spellEnd"/>
      <w:r w:rsidR="007A0787" w:rsidRPr="00BD2449">
        <w:rPr>
          <w:b/>
          <w:bCs/>
          <w:i/>
          <w:iCs/>
        </w:rPr>
        <w:t>?</w:t>
      </w:r>
    </w:p>
    <w:p w14:paraId="56E55961" w14:textId="37BD2C64" w:rsidR="00F60DE8" w:rsidRDefault="005D1024" w:rsidP="00BB6014">
      <w:r>
        <w:t xml:space="preserve">Er blijkt verwarring </w:t>
      </w:r>
      <w:r w:rsidR="00186EF7">
        <w:t xml:space="preserve">te zijn </w:t>
      </w:r>
      <w:r>
        <w:t xml:space="preserve">over wat </w:t>
      </w:r>
      <w:proofErr w:type="spellStart"/>
      <w:r w:rsidRPr="00BB6014">
        <w:rPr>
          <w:i/>
          <w:iCs/>
        </w:rPr>
        <w:t>blended</w:t>
      </w:r>
      <w:proofErr w:type="spellEnd"/>
      <w:r w:rsidRPr="00BB6014">
        <w:rPr>
          <w:i/>
          <w:iCs/>
        </w:rPr>
        <w:t xml:space="preserve"> </w:t>
      </w:r>
      <w:proofErr w:type="spellStart"/>
      <w:r w:rsidRPr="00BB6014">
        <w:rPr>
          <w:i/>
          <w:iCs/>
        </w:rPr>
        <w:t>learning</w:t>
      </w:r>
      <w:proofErr w:type="spellEnd"/>
      <w:r>
        <w:t xml:space="preserve"> precies is. Misconcepten zijn dat het gelijk zou staan aan </w:t>
      </w:r>
      <w:r w:rsidR="00F60DE8">
        <w:t xml:space="preserve">een nieuwe vorm van lesgeven, of aan </w:t>
      </w:r>
      <w:r w:rsidR="003306E9">
        <w:t xml:space="preserve">het verzorgen van </w:t>
      </w:r>
      <w:r w:rsidR="006E46F9">
        <w:t>onlineonderwijs</w:t>
      </w:r>
      <w:r>
        <w:t>, aan afstandsleren, aan vormen van flexibel leren of aan efficiënter leren</w:t>
      </w:r>
      <w:r w:rsidR="00D41591">
        <w:t xml:space="preserve">, </w:t>
      </w:r>
      <w:r w:rsidR="003D0F0D">
        <w:t>of</w:t>
      </w:r>
      <w:r w:rsidR="00D41591">
        <w:t xml:space="preserve"> dat het een (al dan niet verhulde) manier is om kosten te besparen</w:t>
      </w:r>
      <w:r w:rsidR="003D0F0D">
        <w:t>, of dat het huidig onderwijs vervangt</w:t>
      </w:r>
      <w:r>
        <w:t xml:space="preserve">. </w:t>
      </w:r>
      <w:r w:rsidRPr="003D0F0D">
        <w:t>De werkgroep benadrukt dat</w:t>
      </w:r>
      <w:r w:rsidR="00186EF7">
        <w:t xml:space="preserve"> het concept</w:t>
      </w:r>
      <w:r w:rsidRPr="003D0F0D">
        <w:t xml:space="preserve"> </w:t>
      </w:r>
      <w:proofErr w:type="spellStart"/>
      <w:r w:rsidRPr="00BB6014">
        <w:rPr>
          <w:i/>
          <w:iCs/>
        </w:rPr>
        <w:t>blended</w:t>
      </w:r>
      <w:proofErr w:type="spellEnd"/>
      <w:r w:rsidRPr="00BB6014">
        <w:rPr>
          <w:i/>
          <w:iCs/>
        </w:rPr>
        <w:t xml:space="preserve"> </w:t>
      </w:r>
      <w:proofErr w:type="spellStart"/>
      <w:r w:rsidRPr="00BB6014">
        <w:rPr>
          <w:i/>
          <w:iCs/>
        </w:rPr>
        <w:t>learning</w:t>
      </w:r>
      <w:proofErr w:type="spellEnd"/>
      <w:r w:rsidRPr="003D0F0D">
        <w:t xml:space="preserve"> </w:t>
      </w:r>
      <w:r w:rsidR="00D41591" w:rsidRPr="003D0F0D">
        <w:t xml:space="preserve">duidt op mengvormen van </w:t>
      </w:r>
      <w:r w:rsidR="003D0F0D" w:rsidRPr="003D0F0D">
        <w:t>leeractiviteit</w:t>
      </w:r>
      <w:r w:rsidR="003D0F0D">
        <w:t>en</w:t>
      </w:r>
      <w:r w:rsidR="00D41591" w:rsidRPr="003D0F0D">
        <w:t xml:space="preserve"> en hanteert de</w:t>
      </w:r>
      <w:r w:rsidR="00E81CEB">
        <w:t xml:space="preserve">zelfde definitie </w:t>
      </w:r>
      <w:r w:rsidR="00186EF7">
        <w:t xml:space="preserve">als </w:t>
      </w:r>
      <w:r w:rsidR="00E81CEB">
        <w:t>in de visiestukken van de UvA wordt gehanteerd:</w:t>
      </w:r>
      <w:r w:rsidR="00D41591" w:rsidRPr="003D0F0D">
        <w:t xml:space="preserve"> </w:t>
      </w:r>
    </w:p>
    <w:p w14:paraId="37F3BE96" w14:textId="27139663" w:rsidR="00F60DE8" w:rsidRPr="00BB6014" w:rsidRDefault="00D41591" w:rsidP="00BB6014">
      <w:pPr>
        <w:ind w:left="708" w:firstLine="12"/>
        <w:rPr>
          <w:sz w:val="20"/>
          <w:szCs w:val="20"/>
          <w:lang w:val="en-US"/>
        </w:rPr>
      </w:pPr>
      <w:r w:rsidRPr="00BB6014">
        <w:rPr>
          <w:sz w:val="20"/>
          <w:szCs w:val="20"/>
          <w:lang w:val="en-US"/>
        </w:rPr>
        <w:t>Blended learning describes learning activities that involve a systematic combination of co-present (face to face) interactions and technology-mediated interactions between students, teachers and learning resources</w:t>
      </w:r>
      <w:r w:rsidR="00186EF7">
        <w:rPr>
          <w:sz w:val="20"/>
          <w:szCs w:val="20"/>
          <w:lang w:val="en-US"/>
        </w:rPr>
        <w:t>.</w:t>
      </w:r>
      <w:r w:rsidRPr="00F60DE8">
        <w:rPr>
          <w:rStyle w:val="FootnoteReference"/>
          <w:sz w:val="20"/>
          <w:szCs w:val="20"/>
          <w:lang w:val="en-US"/>
        </w:rPr>
        <w:footnoteReference w:id="2"/>
      </w:r>
      <w:r w:rsidRPr="00BB6014">
        <w:rPr>
          <w:sz w:val="20"/>
          <w:szCs w:val="20"/>
          <w:lang w:val="en-US"/>
        </w:rPr>
        <w:t xml:space="preserve"> </w:t>
      </w:r>
    </w:p>
    <w:p w14:paraId="46233A3A" w14:textId="1E16AC3A" w:rsidR="00D41591" w:rsidRPr="003D0F0D" w:rsidRDefault="003D0F0D" w:rsidP="00BB6014">
      <w:r>
        <w:t xml:space="preserve">Ze benadrukt daarbij dat het </w:t>
      </w:r>
      <w:r w:rsidR="00E81CEB">
        <w:t xml:space="preserve">dus niet </w:t>
      </w:r>
      <w:r>
        <w:t>alleen over techniek gaat (</w:t>
      </w:r>
      <w:r w:rsidR="00BD2449">
        <w:t>‘</w:t>
      </w:r>
      <w:proofErr w:type="spellStart"/>
      <w:r w:rsidRPr="00186ECB">
        <w:rPr>
          <w:i/>
          <w:iCs/>
        </w:rPr>
        <w:t>stretching</w:t>
      </w:r>
      <w:proofErr w:type="spellEnd"/>
      <w:r w:rsidRPr="00186ECB">
        <w:rPr>
          <w:i/>
          <w:iCs/>
        </w:rPr>
        <w:t xml:space="preserve"> </w:t>
      </w:r>
      <w:proofErr w:type="spellStart"/>
      <w:r w:rsidRPr="00186ECB">
        <w:rPr>
          <w:i/>
          <w:iCs/>
        </w:rPr>
        <w:t>the</w:t>
      </w:r>
      <w:proofErr w:type="spellEnd"/>
      <w:r w:rsidRPr="00186ECB">
        <w:rPr>
          <w:i/>
          <w:iCs/>
        </w:rPr>
        <w:t xml:space="preserve"> </w:t>
      </w:r>
      <w:proofErr w:type="spellStart"/>
      <w:r w:rsidRPr="00186ECB">
        <w:rPr>
          <w:i/>
          <w:iCs/>
        </w:rPr>
        <w:t>mould</w:t>
      </w:r>
      <w:proofErr w:type="spellEnd"/>
      <w:r>
        <w:t xml:space="preserve">’). Het moet </w:t>
      </w:r>
      <w:r w:rsidR="003306E9">
        <w:t xml:space="preserve">steeds </w:t>
      </w:r>
      <w:r>
        <w:t>gaan over de kwaliteit van de leeractiviteiten</w:t>
      </w:r>
      <w:r w:rsidR="00E81CEB">
        <w:t>,</w:t>
      </w:r>
      <w:r>
        <w:t xml:space="preserve"> over hoe die </w:t>
      </w:r>
      <w:r w:rsidR="00BD2449">
        <w:t>ge</w:t>
      </w:r>
      <w:r>
        <w:t>optimaliseer</w:t>
      </w:r>
      <w:r w:rsidR="00BD2449">
        <w:t>d kunnen worden</w:t>
      </w:r>
      <w:r w:rsidR="00E81CEB">
        <w:t xml:space="preserve"> door te zoeken naar de beste combinatie van fysiek onderwijs en onderwijs dat ondersteund wordt door technologie.</w:t>
      </w:r>
    </w:p>
    <w:p w14:paraId="2BB2C031" w14:textId="1602C4EA" w:rsidR="007A0787" w:rsidRDefault="007A0787" w:rsidP="00BB6014">
      <w:r>
        <w:t xml:space="preserve">Een goed geformuleerde visie kan helpen bij het bepalen van een strategie </w:t>
      </w:r>
      <w:r w:rsidR="00186EF7">
        <w:t xml:space="preserve">voor </w:t>
      </w:r>
      <w:r>
        <w:t>het ontwikkelen van infrast</w:t>
      </w:r>
      <w:r w:rsidR="00CA25DD">
        <w:t>r</w:t>
      </w:r>
      <w:r>
        <w:t>uctuur, ondersteuning, het alloceren van middelen en gerichte professionalisering</w:t>
      </w:r>
      <w:r w:rsidR="000B5290">
        <w:t xml:space="preserve"> van de docenten (want </w:t>
      </w:r>
      <w:proofErr w:type="spellStart"/>
      <w:r w:rsidR="000B5290" w:rsidRPr="00BB6014">
        <w:rPr>
          <w:i/>
          <w:iCs/>
        </w:rPr>
        <w:t>blended</w:t>
      </w:r>
      <w:proofErr w:type="spellEnd"/>
      <w:r w:rsidR="000B5290" w:rsidRPr="00BB6014">
        <w:rPr>
          <w:i/>
          <w:iCs/>
        </w:rPr>
        <w:t xml:space="preserve"> </w:t>
      </w:r>
      <w:proofErr w:type="spellStart"/>
      <w:r w:rsidR="000B5290" w:rsidRPr="00BB6014">
        <w:rPr>
          <w:i/>
          <w:iCs/>
        </w:rPr>
        <w:t>le</w:t>
      </w:r>
      <w:r w:rsidR="00E81CEB" w:rsidRPr="00BB6014">
        <w:rPr>
          <w:i/>
          <w:iCs/>
        </w:rPr>
        <w:t>arning</w:t>
      </w:r>
      <w:proofErr w:type="spellEnd"/>
      <w:r w:rsidR="000B5290">
        <w:t xml:space="preserve"> </w:t>
      </w:r>
      <w:r w:rsidR="00186EF7">
        <w:t xml:space="preserve">vereist </w:t>
      </w:r>
      <w:r w:rsidR="000B5290">
        <w:t>aanvullende competenties), en kan ook helpen bij het expliciteren van de verwachtingen over de studenten</w:t>
      </w:r>
      <w:r>
        <w:t>.</w:t>
      </w:r>
      <w:r w:rsidR="005F3CB0">
        <w:t xml:space="preserve"> Dat betekent dat de geformuleerde visie voldoende concreet moet zijn. </w:t>
      </w:r>
    </w:p>
    <w:p w14:paraId="4BFD886D" w14:textId="5908BCFD" w:rsidR="00F60DE8" w:rsidRDefault="00F60DE8" w:rsidP="00186ECB">
      <w:r>
        <w:t>Een vruchtbare aanpak om tot zo</w:t>
      </w:r>
      <w:r w:rsidR="003306E9">
        <w:t>’</w:t>
      </w:r>
      <w:r>
        <w:t xml:space="preserve">n </w:t>
      </w:r>
      <w:r w:rsidR="003306E9">
        <w:t xml:space="preserve">concrete </w:t>
      </w:r>
      <w:r>
        <w:t xml:space="preserve">gedeelde visie te komen is die van </w:t>
      </w:r>
      <w:proofErr w:type="spellStart"/>
      <w:r w:rsidRPr="00186ECB">
        <w:rPr>
          <w:i/>
          <w:iCs/>
        </w:rPr>
        <w:t>constructive</w:t>
      </w:r>
      <w:proofErr w:type="spellEnd"/>
      <w:r w:rsidRPr="00186ECB">
        <w:rPr>
          <w:i/>
          <w:iCs/>
        </w:rPr>
        <w:t xml:space="preserve"> </w:t>
      </w:r>
      <w:proofErr w:type="spellStart"/>
      <w:r w:rsidRPr="00186ECB">
        <w:rPr>
          <w:i/>
          <w:iCs/>
        </w:rPr>
        <w:t>alignment</w:t>
      </w:r>
      <w:proofErr w:type="spellEnd"/>
      <w:r>
        <w:t xml:space="preserve">, door achtereenvolgens te kijken naar het </w:t>
      </w:r>
      <w:proofErr w:type="spellStart"/>
      <w:r w:rsidRPr="00186ECB">
        <w:rPr>
          <w:i/>
          <w:iCs/>
        </w:rPr>
        <w:t>why</w:t>
      </w:r>
      <w:proofErr w:type="spellEnd"/>
      <w:r w:rsidRPr="00186ECB">
        <w:rPr>
          <w:i/>
          <w:iCs/>
        </w:rPr>
        <w:t xml:space="preserve"> – </w:t>
      </w:r>
      <w:proofErr w:type="spellStart"/>
      <w:r w:rsidRPr="00186ECB">
        <w:rPr>
          <w:i/>
          <w:iCs/>
        </w:rPr>
        <w:t>how</w:t>
      </w:r>
      <w:proofErr w:type="spellEnd"/>
      <w:r w:rsidRPr="00186ECB">
        <w:rPr>
          <w:i/>
          <w:iCs/>
        </w:rPr>
        <w:t xml:space="preserve"> – </w:t>
      </w:r>
      <w:proofErr w:type="spellStart"/>
      <w:r w:rsidRPr="00186ECB">
        <w:rPr>
          <w:i/>
          <w:iCs/>
        </w:rPr>
        <w:t>what</w:t>
      </w:r>
      <w:proofErr w:type="spellEnd"/>
      <w:r>
        <w:t xml:space="preserve"> van het leren.</w:t>
      </w:r>
    </w:p>
    <w:p w14:paraId="246059D6" w14:textId="6A209152" w:rsidR="00E81CEB" w:rsidRDefault="00186ECB" w:rsidP="00186ECB">
      <w:r>
        <w:t>Tenslotte suggereert d</w:t>
      </w:r>
      <w:r w:rsidR="00E81CEB">
        <w:t xml:space="preserve">e literatuur dat een visie op </w:t>
      </w:r>
      <w:proofErr w:type="spellStart"/>
      <w:r w:rsidR="00E81CEB" w:rsidRPr="00186ECB">
        <w:rPr>
          <w:i/>
          <w:iCs/>
        </w:rPr>
        <w:t>blended</w:t>
      </w:r>
      <w:proofErr w:type="spellEnd"/>
      <w:r w:rsidR="00E81CEB" w:rsidRPr="00186ECB">
        <w:rPr>
          <w:i/>
          <w:iCs/>
        </w:rPr>
        <w:t xml:space="preserve"> </w:t>
      </w:r>
      <w:proofErr w:type="spellStart"/>
      <w:r w:rsidR="00E81CEB" w:rsidRPr="00186ECB">
        <w:rPr>
          <w:i/>
          <w:iCs/>
        </w:rPr>
        <w:t>learning</w:t>
      </w:r>
      <w:proofErr w:type="spellEnd"/>
      <w:r w:rsidR="00E81CEB">
        <w:t xml:space="preserve"> zou moeten aansluiten bij de</w:t>
      </w:r>
      <w:r w:rsidR="00F60DE8">
        <w:t xml:space="preserve"> </w:t>
      </w:r>
      <w:r w:rsidR="00E81CEB">
        <w:t xml:space="preserve">algemene </w:t>
      </w:r>
      <w:r w:rsidR="00E81CEB" w:rsidRPr="003D0F0D">
        <w:t>visie op leren</w:t>
      </w:r>
      <w:r w:rsidR="003306E9">
        <w:t xml:space="preserve"> van de opleidin</w:t>
      </w:r>
      <w:r w:rsidR="00BD2449">
        <w:t>g</w:t>
      </w:r>
      <w:r w:rsidR="00E81CEB">
        <w:t>. Zie daartoe hieronder een overzicht van visies waartoe de masters zich te verhouden hebben</w:t>
      </w:r>
      <w:r w:rsidR="00F60DE8">
        <w:t xml:space="preserve"> met daarbij een </w:t>
      </w:r>
      <w:r w:rsidR="00AE4C73">
        <w:t>overzicht van de kernconcepten uit die visies</w:t>
      </w:r>
      <w:r w:rsidR="009971C2">
        <w:t>.</w:t>
      </w:r>
    </w:p>
    <w:tbl>
      <w:tblPr>
        <w:tblStyle w:val="TableGrid"/>
        <w:tblW w:w="0" w:type="auto"/>
        <w:tblLook w:val="04A0" w:firstRow="1" w:lastRow="0" w:firstColumn="1" w:lastColumn="0" w:noHBand="0" w:noVBand="1"/>
      </w:tblPr>
      <w:tblGrid>
        <w:gridCol w:w="2405"/>
        <w:gridCol w:w="1843"/>
        <w:gridCol w:w="4768"/>
      </w:tblGrid>
      <w:tr w:rsidR="003D0F0D" w:rsidRPr="00F60DE8" w14:paraId="081721A1" w14:textId="77777777" w:rsidTr="003D322E">
        <w:tc>
          <w:tcPr>
            <w:tcW w:w="2405" w:type="dxa"/>
          </w:tcPr>
          <w:p w14:paraId="341E2DDB" w14:textId="77777777" w:rsidR="003D0F0D" w:rsidRPr="00F60DE8" w:rsidRDefault="003D0F0D" w:rsidP="003D322E">
            <w:pPr>
              <w:rPr>
                <w:b/>
                <w:bCs/>
                <w:sz w:val="20"/>
                <w:szCs w:val="20"/>
              </w:rPr>
            </w:pPr>
            <w:r w:rsidRPr="00F60DE8">
              <w:rPr>
                <w:b/>
                <w:bCs/>
                <w:sz w:val="20"/>
                <w:szCs w:val="20"/>
              </w:rPr>
              <w:t>Visies:</w:t>
            </w:r>
          </w:p>
        </w:tc>
        <w:tc>
          <w:tcPr>
            <w:tcW w:w="1843" w:type="dxa"/>
          </w:tcPr>
          <w:p w14:paraId="04D1F63D" w14:textId="77777777" w:rsidR="003D0F0D" w:rsidRPr="00F60DE8" w:rsidRDefault="003D0F0D" w:rsidP="003D322E">
            <w:pPr>
              <w:rPr>
                <w:b/>
                <w:bCs/>
                <w:sz w:val="20"/>
                <w:szCs w:val="20"/>
              </w:rPr>
            </w:pPr>
            <w:r w:rsidRPr="00F60DE8">
              <w:rPr>
                <w:b/>
                <w:bCs/>
                <w:sz w:val="20"/>
                <w:szCs w:val="20"/>
              </w:rPr>
              <w:t>Bron:</w:t>
            </w:r>
          </w:p>
        </w:tc>
        <w:tc>
          <w:tcPr>
            <w:tcW w:w="4768" w:type="dxa"/>
          </w:tcPr>
          <w:p w14:paraId="05E0472C" w14:textId="77777777" w:rsidR="003D0F0D" w:rsidRPr="00F60DE8" w:rsidRDefault="003D0F0D" w:rsidP="003D322E">
            <w:pPr>
              <w:rPr>
                <w:b/>
                <w:bCs/>
                <w:sz w:val="20"/>
                <w:szCs w:val="20"/>
              </w:rPr>
            </w:pPr>
            <w:r w:rsidRPr="00F60DE8">
              <w:rPr>
                <w:b/>
                <w:bCs/>
                <w:sz w:val="20"/>
                <w:szCs w:val="20"/>
              </w:rPr>
              <w:t>Kern:</w:t>
            </w:r>
          </w:p>
        </w:tc>
      </w:tr>
      <w:tr w:rsidR="003D0F0D" w:rsidRPr="00F60DE8" w14:paraId="73BA5D54" w14:textId="77777777" w:rsidTr="003D322E">
        <w:tc>
          <w:tcPr>
            <w:tcW w:w="2405" w:type="dxa"/>
          </w:tcPr>
          <w:p w14:paraId="7A71CB44" w14:textId="7D7BC0F3" w:rsidR="003D0F0D" w:rsidRPr="00F60DE8" w:rsidRDefault="003D0F0D" w:rsidP="003D322E">
            <w:pPr>
              <w:rPr>
                <w:sz w:val="20"/>
                <w:szCs w:val="20"/>
              </w:rPr>
            </w:pPr>
            <w:r w:rsidRPr="00F60DE8">
              <w:rPr>
                <w:sz w:val="20"/>
                <w:szCs w:val="20"/>
              </w:rPr>
              <w:t xml:space="preserve">De HvA </w:t>
            </w:r>
          </w:p>
          <w:p w14:paraId="7A8FEF3A" w14:textId="77777777" w:rsidR="003D0F0D" w:rsidRPr="00F60DE8" w:rsidRDefault="003D0F0D" w:rsidP="003D322E">
            <w:pPr>
              <w:rPr>
                <w:b/>
                <w:bCs/>
                <w:sz w:val="20"/>
                <w:szCs w:val="20"/>
              </w:rPr>
            </w:pPr>
          </w:p>
        </w:tc>
        <w:tc>
          <w:tcPr>
            <w:tcW w:w="1843" w:type="dxa"/>
          </w:tcPr>
          <w:p w14:paraId="7ED98A43" w14:textId="77777777" w:rsidR="003D0F0D" w:rsidRPr="00F60DE8" w:rsidRDefault="00BA6A4B" w:rsidP="003D322E">
            <w:pPr>
              <w:rPr>
                <w:sz w:val="20"/>
                <w:szCs w:val="20"/>
              </w:rPr>
            </w:pPr>
            <w:hyperlink r:id="rId11" w:history="1">
              <w:r w:rsidR="003D0F0D" w:rsidRPr="00F60DE8">
                <w:rPr>
                  <w:rStyle w:val="Hyperlink"/>
                  <w:sz w:val="20"/>
                  <w:szCs w:val="20"/>
                </w:rPr>
                <w:t>HvA - VISIE</w:t>
              </w:r>
            </w:hyperlink>
          </w:p>
          <w:p w14:paraId="7A9A38D4" w14:textId="77777777" w:rsidR="003D0F0D" w:rsidRPr="00F60DE8" w:rsidRDefault="003D0F0D" w:rsidP="003D322E">
            <w:pPr>
              <w:rPr>
                <w:b/>
                <w:bCs/>
                <w:sz w:val="20"/>
                <w:szCs w:val="20"/>
              </w:rPr>
            </w:pPr>
          </w:p>
        </w:tc>
        <w:tc>
          <w:tcPr>
            <w:tcW w:w="4768" w:type="dxa"/>
          </w:tcPr>
          <w:p w14:paraId="09830D09" w14:textId="4537CD08" w:rsidR="003D0F0D" w:rsidRPr="00F60DE8" w:rsidRDefault="003D0F0D" w:rsidP="003D322E">
            <w:pPr>
              <w:rPr>
                <w:sz w:val="20"/>
                <w:szCs w:val="20"/>
              </w:rPr>
            </w:pPr>
            <w:r w:rsidRPr="00F60DE8">
              <w:rPr>
                <w:sz w:val="20"/>
                <w:szCs w:val="20"/>
              </w:rPr>
              <w:t xml:space="preserve">regie </w:t>
            </w:r>
            <w:r w:rsidR="00186EF7">
              <w:rPr>
                <w:sz w:val="20"/>
                <w:szCs w:val="20"/>
              </w:rPr>
              <w:t>over</w:t>
            </w:r>
            <w:r w:rsidRPr="00F60DE8">
              <w:rPr>
                <w:sz w:val="20"/>
                <w:szCs w:val="20"/>
              </w:rPr>
              <w:t xml:space="preserve"> eigen </w:t>
            </w:r>
            <w:proofErr w:type="spellStart"/>
            <w:r w:rsidRPr="00F60DE8">
              <w:rPr>
                <w:sz w:val="20"/>
                <w:szCs w:val="20"/>
              </w:rPr>
              <w:t>studiepad</w:t>
            </w:r>
            <w:proofErr w:type="spellEnd"/>
            <w:r w:rsidRPr="00F60DE8">
              <w:rPr>
                <w:sz w:val="20"/>
                <w:szCs w:val="20"/>
              </w:rPr>
              <w:t>, veelvormig onderwijs en verschillende leerroutes;</w:t>
            </w:r>
          </w:p>
          <w:p w14:paraId="0397DB07" w14:textId="0C845FB8" w:rsidR="003D0F0D" w:rsidRPr="00F60DE8" w:rsidRDefault="003D0F0D" w:rsidP="003D322E">
            <w:pPr>
              <w:rPr>
                <w:sz w:val="20"/>
                <w:szCs w:val="20"/>
              </w:rPr>
            </w:pPr>
            <w:r w:rsidRPr="00F60DE8">
              <w:rPr>
                <w:sz w:val="20"/>
                <w:szCs w:val="20"/>
              </w:rPr>
              <w:t>interactieve leeromgeving, realistische beroepssituaties, leren door middel van een interdisciplinaire aanpak</w:t>
            </w:r>
          </w:p>
        </w:tc>
      </w:tr>
      <w:tr w:rsidR="003D0F0D" w:rsidRPr="00F60DE8" w14:paraId="3DF0E47A" w14:textId="77777777" w:rsidTr="003D322E">
        <w:tc>
          <w:tcPr>
            <w:tcW w:w="2405" w:type="dxa"/>
          </w:tcPr>
          <w:p w14:paraId="13B749FF" w14:textId="0FA62730" w:rsidR="003D0F0D" w:rsidRPr="00F60DE8" w:rsidRDefault="003D0F0D" w:rsidP="00AE4C73">
            <w:pPr>
              <w:rPr>
                <w:b/>
                <w:bCs/>
                <w:sz w:val="20"/>
                <w:szCs w:val="20"/>
              </w:rPr>
            </w:pPr>
            <w:r w:rsidRPr="00F60DE8">
              <w:rPr>
                <w:sz w:val="20"/>
                <w:szCs w:val="20"/>
              </w:rPr>
              <w:t xml:space="preserve">De werkgroep Flexibilisering </w:t>
            </w:r>
          </w:p>
        </w:tc>
        <w:tc>
          <w:tcPr>
            <w:tcW w:w="1843" w:type="dxa"/>
          </w:tcPr>
          <w:p w14:paraId="799E654B" w14:textId="77777777" w:rsidR="003D0F0D" w:rsidRPr="00F60DE8" w:rsidRDefault="003D0F0D" w:rsidP="003D322E">
            <w:pPr>
              <w:rPr>
                <w:b/>
                <w:bCs/>
                <w:sz w:val="20"/>
                <w:szCs w:val="20"/>
              </w:rPr>
            </w:pPr>
            <w:r w:rsidRPr="00F60DE8">
              <w:rPr>
                <w:sz w:val="20"/>
                <w:szCs w:val="20"/>
              </w:rPr>
              <w:object w:dxaOrig="1504" w:dyaOrig="982" w14:anchorId="13FEA1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9pt;height:48.95pt" o:ole="">
                  <v:imagedata r:id="rId12" o:title=""/>
                </v:shape>
                <o:OLEObject Type="Embed" ProgID="Acrobat.Document.DC" ShapeID="_x0000_i1025" DrawAspect="Icon" ObjectID="_1687764536" r:id="rId13"/>
              </w:object>
            </w:r>
          </w:p>
        </w:tc>
        <w:tc>
          <w:tcPr>
            <w:tcW w:w="4768" w:type="dxa"/>
          </w:tcPr>
          <w:p w14:paraId="4CA0EE26" w14:textId="77777777" w:rsidR="003D0F0D" w:rsidRPr="00F60DE8" w:rsidRDefault="003D0F0D" w:rsidP="003D322E">
            <w:pPr>
              <w:rPr>
                <w:sz w:val="20"/>
                <w:szCs w:val="20"/>
              </w:rPr>
            </w:pPr>
            <w:r w:rsidRPr="00F60DE8">
              <w:rPr>
                <w:sz w:val="20"/>
                <w:szCs w:val="20"/>
              </w:rPr>
              <w:t>Vergroten studentbetrokkenheid &amp; studentsucces; stimuleren van een leven lang ontwikkelen; wendbaarheid naar arbeidsmarkt en student.</w:t>
            </w:r>
          </w:p>
          <w:p w14:paraId="54DD040A" w14:textId="77777777" w:rsidR="003D0F0D" w:rsidRPr="00F60DE8" w:rsidRDefault="003D0F0D" w:rsidP="003D322E">
            <w:pPr>
              <w:rPr>
                <w:sz w:val="20"/>
                <w:szCs w:val="20"/>
              </w:rPr>
            </w:pPr>
            <w:r w:rsidRPr="00F60DE8">
              <w:rPr>
                <w:sz w:val="20"/>
                <w:szCs w:val="20"/>
              </w:rPr>
              <w:t>Persoonlijke leerroutes met keuze op vijf dimensies: inhoud, achtergrond, organisatie (tijd, tempo, plaats), vorm, niveau</w:t>
            </w:r>
          </w:p>
        </w:tc>
      </w:tr>
      <w:tr w:rsidR="003D0F0D" w:rsidRPr="00F60DE8" w14:paraId="400F464D" w14:textId="77777777" w:rsidTr="003D322E">
        <w:tc>
          <w:tcPr>
            <w:tcW w:w="2405" w:type="dxa"/>
          </w:tcPr>
          <w:p w14:paraId="5D79E4ED" w14:textId="12972C93" w:rsidR="003D0F0D" w:rsidRPr="00F60DE8" w:rsidRDefault="003D0F0D" w:rsidP="003D322E">
            <w:pPr>
              <w:rPr>
                <w:sz w:val="20"/>
                <w:szCs w:val="20"/>
              </w:rPr>
            </w:pPr>
            <w:r w:rsidRPr="00F60DE8">
              <w:rPr>
                <w:sz w:val="20"/>
                <w:szCs w:val="20"/>
              </w:rPr>
              <w:t>De visie zoals geformuleerd door de master</w:t>
            </w:r>
            <w:r w:rsidR="00AE4C73">
              <w:rPr>
                <w:sz w:val="20"/>
                <w:szCs w:val="20"/>
              </w:rPr>
              <w:t>opleidingen</w:t>
            </w:r>
          </w:p>
          <w:p w14:paraId="28503250" w14:textId="77777777" w:rsidR="003D0F0D" w:rsidRPr="00F60DE8" w:rsidRDefault="003D0F0D" w:rsidP="003D322E">
            <w:pPr>
              <w:rPr>
                <w:b/>
                <w:bCs/>
                <w:sz w:val="20"/>
                <w:szCs w:val="20"/>
              </w:rPr>
            </w:pPr>
          </w:p>
        </w:tc>
        <w:bookmarkStart w:id="0" w:name="_MON_1677314375"/>
        <w:bookmarkEnd w:id="0"/>
        <w:tc>
          <w:tcPr>
            <w:tcW w:w="1843" w:type="dxa"/>
          </w:tcPr>
          <w:p w14:paraId="27A6F537" w14:textId="77777777" w:rsidR="003D0F0D" w:rsidRPr="00F60DE8" w:rsidRDefault="003D0F0D" w:rsidP="003D322E">
            <w:pPr>
              <w:rPr>
                <w:b/>
                <w:bCs/>
                <w:sz w:val="20"/>
                <w:szCs w:val="20"/>
              </w:rPr>
            </w:pPr>
            <w:r w:rsidRPr="00F60DE8">
              <w:rPr>
                <w:b/>
                <w:bCs/>
                <w:sz w:val="20"/>
                <w:szCs w:val="20"/>
              </w:rPr>
              <w:object w:dxaOrig="1504" w:dyaOrig="982" w14:anchorId="2A79B0EF">
                <v:shape id="_x0000_i1026" type="#_x0000_t75" style="width:74.9pt;height:48.95pt" o:ole="">
                  <v:imagedata r:id="rId14" o:title=""/>
                </v:shape>
                <o:OLEObject Type="Embed" ProgID="Word.Document.12" ShapeID="_x0000_i1026" DrawAspect="Icon" ObjectID="_1687764537" r:id="rId15">
                  <o:FieldCodes>\s</o:FieldCodes>
                </o:OLEObject>
              </w:object>
            </w:r>
          </w:p>
        </w:tc>
        <w:tc>
          <w:tcPr>
            <w:tcW w:w="4768" w:type="dxa"/>
          </w:tcPr>
          <w:p w14:paraId="4B1A03C4" w14:textId="1F02CC0C" w:rsidR="003D0F0D" w:rsidRPr="00F60DE8" w:rsidRDefault="003D0F0D" w:rsidP="003D322E">
            <w:pPr>
              <w:rPr>
                <w:sz w:val="20"/>
                <w:szCs w:val="20"/>
              </w:rPr>
            </w:pPr>
            <w:r w:rsidRPr="00F60DE8">
              <w:rPr>
                <w:sz w:val="20"/>
                <w:szCs w:val="20"/>
              </w:rPr>
              <w:t>Nadruk op ‘</w:t>
            </w:r>
            <w:proofErr w:type="spellStart"/>
            <w:r w:rsidRPr="00693A7F">
              <w:rPr>
                <w:i/>
                <w:iCs/>
                <w:sz w:val="20"/>
                <w:szCs w:val="20"/>
              </w:rPr>
              <w:t>reflective</w:t>
            </w:r>
            <w:proofErr w:type="spellEnd"/>
            <w:r w:rsidRPr="00693A7F">
              <w:rPr>
                <w:i/>
                <w:iCs/>
                <w:sz w:val="20"/>
                <w:szCs w:val="20"/>
              </w:rPr>
              <w:t xml:space="preserve"> </w:t>
            </w:r>
            <w:proofErr w:type="spellStart"/>
            <w:r w:rsidRPr="00693A7F">
              <w:rPr>
                <w:i/>
                <w:iCs/>
                <w:sz w:val="20"/>
                <w:szCs w:val="20"/>
              </w:rPr>
              <w:t>practitioners</w:t>
            </w:r>
            <w:proofErr w:type="spellEnd"/>
            <w:r w:rsidRPr="00F60DE8">
              <w:rPr>
                <w:sz w:val="20"/>
                <w:szCs w:val="20"/>
              </w:rPr>
              <w:t xml:space="preserve">’ </w:t>
            </w:r>
            <w:r w:rsidR="00CD1F1B">
              <w:rPr>
                <w:sz w:val="20"/>
                <w:szCs w:val="20"/>
              </w:rPr>
              <w:t>(</w:t>
            </w:r>
            <w:r w:rsidRPr="00F60DE8">
              <w:rPr>
                <w:sz w:val="20"/>
                <w:szCs w:val="20"/>
              </w:rPr>
              <w:t>professionals die kritisch omgaan met data en methodes</w:t>
            </w:r>
            <w:r w:rsidR="00CD1F1B">
              <w:rPr>
                <w:sz w:val="20"/>
                <w:szCs w:val="20"/>
              </w:rPr>
              <w:t>)</w:t>
            </w:r>
            <w:r w:rsidRPr="00F60DE8">
              <w:rPr>
                <w:sz w:val="20"/>
                <w:szCs w:val="20"/>
              </w:rPr>
              <w:t xml:space="preserve">. Ook aandacht voor flexibiliteit, maatwerk, </w:t>
            </w:r>
            <w:r w:rsidRPr="00693A7F">
              <w:rPr>
                <w:i/>
                <w:iCs/>
                <w:sz w:val="20"/>
                <w:szCs w:val="20"/>
              </w:rPr>
              <w:t>state-of-</w:t>
            </w:r>
            <w:proofErr w:type="spellStart"/>
            <w:r w:rsidRPr="00693A7F">
              <w:rPr>
                <w:i/>
                <w:iCs/>
                <w:sz w:val="20"/>
                <w:szCs w:val="20"/>
              </w:rPr>
              <w:t>the</w:t>
            </w:r>
            <w:proofErr w:type="spellEnd"/>
            <w:r w:rsidRPr="00693A7F">
              <w:rPr>
                <w:i/>
                <w:iCs/>
                <w:sz w:val="20"/>
                <w:szCs w:val="20"/>
              </w:rPr>
              <w:t>-art</w:t>
            </w:r>
            <w:r w:rsidRPr="00F60DE8">
              <w:rPr>
                <w:sz w:val="20"/>
                <w:szCs w:val="20"/>
              </w:rPr>
              <w:t xml:space="preserve"> praktijken en diversiteit aan werkvormen (</w:t>
            </w:r>
            <w:proofErr w:type="spellStart"/>
            <w:r w:rsidRPr="00F60DE8">
              <w:rPr>
                <w:i/>
                <w:iCs/>
                <w:sz w:val="20"/>
                <w:szCs w:val="20"/>
              </w:rPr>
              <w:t>practise</w:t>
            </w:r>
            <w:proofErr w:type="spellEnd"/>
            <w:r w:rsidRPr="00F60DE8">
              <w:rPr>
                <w:i/>
                <w:iCs/>
                <w:sz w:val="20"/>
                <w:szCs w:val="20"/>
              </w:rPr>
              <w:t xml:space="preserve"> </w:t>
            </w:r>
            <w:proofErr w:type="spellStart"/>
            <w:r w:rsidRPr="00F60DE8">
              <w:rPr>
                <w:i/>
                <w:iCs/>
                <w:sz w:val="20"/>
                <w:szCs w:val="20"/>
              </w:rPr>
              <w:t>what</w:t>
            </w:r>
            <w:proofErr w:type="spellEnd"/>
            <w:r w:rsidRPr="00F60DE8">
              <w:rPr>
                <w:i/>
                <w:iCs/>
                <w:sz w:val="20"/>
                <w:szCs w:val="20"/>
              </w:rPr>
              <w:t xml:space="preserve"> </w:t>
            </w:r>
            <w:proofErr w:type="spellStart"/>
            <w:r w:rsidRPr="00F60DE8">
              <w:rPr>
                <w:i/>
                <w:iCs/>
                <w:sz w:val="20"/>
                <w:szCs w:val="20"/>
              </w:rPr>
              <w:t>you</w:t>
            </w:r>
            <w:proofErr w:type="spellEnd"/>
            <w:r w:rsidRPr="00F60DE8">
              <w:rPr>
                <w:i/>
                <w:iCs/>
                <w:sz w:val="20"/>
                <w:szCs w:val="20"/>
              </w:rPr>
              <w:t xml:space="preserve"> </w:t>
            </w:r>
            <w:proofErr w:type="spellStart"/>
            <w:r w:rsidRPr="00F60DE8">
              <w:rPr>
                <w:i/>
                <w:iCs/>
                <w:sz w:val="20"/>
                <w:szCs w:val="20"/>
              </w:rPr>
              <w:t>preach</w:t>
            </w:r>
            <w:proofErr w:type="spellEnd"/>
            <w:r w:rsidRPr="00F60DE8">
              <w:rPr>
                <w:sz w:val="20"/>
                <w:szCs w:val="20"/>
              </w:rPr>
              <w:t>)</w:t>
            </w:r>
          </w:p>
        </w:tc>
      </w:tr>
      <w:tr w:rsidR="003D0F0D" w:rsidRPr="00F60DE8" w14:paraId="7F6F534D" w14:textId="77777777" w:rsidTr="003D322E">
        <w:tc>
          <w:tcPr>
            <w:tcW w:w="2405" w:type="dxa"/>
          </w:tcPr>
          <w:p w14:paraId="2508D87B" w14:textId="77777777" w:rsidR="003D0F0D" w:rsidRPr="00F60DE8" w:rsidRDefault="003D0F0D" w:rsidP="003D322E">
            <w:pPr>
              <w:rPr>
                <w:b/>
                <w:bCs/>
                <w:sz w:val="20"/>
                <w:szCs w:val="20"/>
              </w:rPr>
            </w:pPr>
            <w:r w:rsidRPr="00F60DE8">
              <w:rPr>
                <w:sz w:val="20"/>
                <w:szCs w:val="20"/>
              </w:rPr>
              <w:lastRenderedPageBreak/>
              <w:t>De visie zoals geformuleerd in stukken van de werkgroepen rond de leerlijnen Onderzoek en Vakdidactiek</w:t>
            </w:r>
          </w:p>
          <w:p w14:paraId="5F65BEB9" w14:textId="77777777" w:rsidR="003D0F0D" w:rsidRPr="00F60DE8" w:rsidRDefault="003D0F0D" w:rsidP="003D322E">
            <w:pPr>
              <w:rPr>
                <w:b/>
                <w:bCs/>
                <w:sz w:val="20"/>
                <w:szCs w:val="20"/>
              </w:rPr>
            </w:pPr>
          </w:p>
        </w:tc>
        <w:tc>
          <w:tcPr>
            <w:tcW w:w="1843" w:type="dxa"/>
          </w:tcPr>
          <w:p w14:paraId="5D52A974" w14:textId="5561BD28" w:rsidR="003D0F0D" w:rsidRPr="00F60DE8" w:rsidRDefault="003D0F0D" w:rsidP="003D322E">
            <w:pPr>
              <w:rPr>
                <w:b/>
                <w:bCs/>
                <w:sz w:val="20"/>
                <w:szCs w:val="20"/>
              </w:rPr>
            </w:pPr>
            <w:r w:rsidRPr="00F60DE8">
              <w:rPr>
                <w:sz w:val="20"/>
                <w:szCs w:val="20"/>
              </w:rPr>
              <w:fldChar w:fldCharType="begin"/>
            </w:r>
            <w:r w:rsidRPr="00F60DE8">
              <w:rPr>
                <w:sz w:val="20"/>
                <w:szCs w:val="20"/>
              </w:rPr>
              <w:instrText xml:space="preserve"> LINK Word.Document.12 "C:\\Users\\koffa\\surfdrive\\HvA\\HD\\blended learning\\Visieconcept VOS_28-1-2020.docx" "" \a \p \f 0 \* MERGEFORMAT </w:instrText>
            </w:r>
            <w:r w:rsidRPr="00F60DE8">
              <w:rPr>
                <w:sz w:val="20"/>
                <w:szCs w:val="20"/>
              </w:rPr>
              <w:fldChar w:fldCharType="separate"/>
            </w:r>
            <w:r w:rsidRPr="00F60DE8">
              <w:rPr>
                <w:sz w:val="20"/>
                <w:szCs w:val="20"/>
              </w:rPr>
              <w:object w:dxaOrig="1504" w:dyaOrig="982" w14:anchorId="19859126">
                <v:shape id="_x0000_i1027" type="#_x0000_t75" style="width:53.55pt;height:35.15pt" o:ole="">
                  <v:imagedata r:id="rId16" o:title=""/>
                </v:shape>
              </w:object>
            </w:r>
            <w:r w:rsidRPr="00F60DE8">
              <w:rPr>
                <w:sz w:val="20"/>
                <w:szCs w:val="20"/>
              </w:rPr>
              <w:fldChar w:fldCharType="end"/>
            </w:r>
          </w:p>
        </w:tc>
        <w:tc>
          <w:tcPr>
            <w:tcW w:w="4768" w:type="dxa"/>
          </w:tcPr>
          <w:p w14:paraId="473BB6B5" w14:textId="77777777" w:rsidR="003D0F0D" w:rsidRPr="00F60DE8" w:rsidRDefault="003D0F0D" w:rsidP="003D322E">
            <w:pPr>
              <w:rPr>
                <w:sz w:val="20"/>
                <w:szCs w:val="20"/>
              </w:rPr>
            </w:pPr>
            <w:r w:rsidRPr="00F60DE8">
              <w:rPr>
                <w:sz w:val="20"/>
                <w:szCs w:val="20"/>
              </w:rPr>
              <w:t>Gericht op ontwikkelen van wendbaarheid (in superdiverse context)</w:t>
            </w:r>
          </w:p>
          <w:p w14:paraId="58DD295A" w14:textId="77777777" w:rsidR="003D0F0D" w:rsidRPr="00F60DE8" w:rsidRDefault="003D0F0D" w:rsidP="003D322E">
            <w:pPr>
              <w:rPr>
                <w:sz w:val="20"/>
                <w:szCs w:val="20"/>
              </w:rPr>
            </w:pPr>
            <w:r w:rsidRPr="00F60DE8">
              <w:rPr>
                <w:sz w:val="20"/>
                <w:szCs w:val="20"/>
              </w:rPr>
              <w:t>Kennisoverdracht, ontwerpen, onderzoeken en innoveren van het onderwijs</w:t>
            </w:r>
          </w:p>
          <w:p w14:paraId="3788353E" w14:textId="77777777" w:rsidR="003D0F0D" w:rsidRPr="00F60DE8" w:rsidRDefault="003D0F0D" w:rsidP="003D322E">
            <w:pPr>
              <w:rPr>
                <w:sz w:val="20"/>
                <w:szCs w:val="20"/>
              </w:rPr>
            </w:pPr>
            <w:r w:rsidRPr="00F60DE8">
              <w:rPr>
                <w:sz w:val="20"/>
                <w:szCs w:val="20"/>
              </w:rPr>
              <w:t>Weloverwogen keuzes kunnen maken</w:t>
            </w:r>
          </w:p>
        </w:tc>
      </w:tr>
      <w:tr w:rsidR="00BD2449" w:rsidRPr="00F60DE8" w14:paraId="3F0D0475" w14:textId="77777777" w:rsidTr="00603041">
        <w:tc>
          <w:tcPr>
            <w:tcW w:w="9016" w:type="dxa"/>
            <w:gridSpan w:val="3"/>
          </w:tcPr>
          <w:p w14:paraId="569273D8" w14:textId="77777777" w:rsidR="00BD2449" w:rsidRDefault="00BD2449" w:rsidP="003D322E">
            <w:pPr>
              <w:rPr>
                <w:sz w:val="20"/>
                <w:szCs w:val="20"/>
              </w:rPr>
            </w:pPr>
          </w:p>
          <w:p w14:paraId="173A7A0B" w14:textId="495AB11D" w:rsidR="00BD2449" w:rsidRDefault="00BD2449" w:rsidP="003D322E">
            <w:pPr>
              <w:rPr>
                <w:sz w:val="20"/>
                <w:szCs w:val="20"/>
              </w:rPr>
            </w:pPr>
            <w:r w:rsidRPr="00F60DE8">
              <w:rPr>
                <w:sz w:val="20"/>
                <w:szCs w:val="20"/>
              </w:rPr>
              <w:t xml:space="preserve">Samengevat: de masteropleidingen mikken op wendbare professionals die in hoge mate zelfsturend zijn en die vanaf/op verschillende plekken leren: in een plenaire groep, in een leergroep, individueel en op hun werkplek. Studenten maken daarbij actief kennis met </w:t>
            </w:r>
            <w:r w:rsidRPr="00693A7F">
              <w:rPr>
                <w:i/>
                <w:iCs/>
                <w:sz w:val="20"/>
                <w:szCs w:val="20"/>
              </w:rPr>
              <w:t>state-of-</w:t>
            </w:r>
            <w:proofErr w:type="spellStart"/>
            <w:r w:rsidRPr="00693A7F">
              <w:rPr>
                <w:i/>
                <w:iCs/>
                <w:sz w:val="20"/>
                <w:szCs w:val="20"/>
              </w:rPr>
              <w:t>the</w:t>
            </w:r>
            <w:proofErr w:type="spellEnd"/>
            <w:r w:rsidRPr="00693A7F">
              <w:rPr>
                <w:i/>
                <w:iCs/>
                <w:sz w:val="20"/>
                <w:szCs w:val="20"/>
              </w:rPr>
              <w:t>-art</w:t>
            </w:r>
            <w:r w:rsidRPr="00F60DE8">
              <w:rPr>
                <w:sz w:val="20"/>
                <w:szCs w:val="20"/>
              </w:rPr>
              <w:t xml:space="preserve"> kennis, </w:t>
            </w:r>
            <w:r>
              <w:rPr>
                <w:sz w:val="20"/>
                <w:szCs w:val="20"/>
              </w:rPr>
              <w:t xml:space="preserve">met een veelheid van </w:t>
            </w:r>
            <w:r w:rsidRPr="00F60DE8">
              <w:rPr>
                <w:sz w:val="20"/>
                <w:szCs w:val="20"/>
              </w:rPr>
              <w:t>methodes en werkvormen, waarbij ze leren om daarmee kritisch om te gaan</w:t>
            </w:r>
            <w:r>
              <w:rPr>
                <w:sz w:val="20"/>
                <w:szCs w:val="20"/>
              </w:rPr>
              <w:t xml:space="preserve"> om zo ook zelf weloverwogen keuzes te kunnen maken</w:t>
            </w:r>
            <w:r w:rsidRPr="00F60DE8">
              <w:rPr>
                <w:sz w:val="20"/>
                <w:szCs w:val="20"/>
              </w:rPr>
              <w:t>.</w:t>
            </w:r>
          </w:p>
          <w:p w14:paraId="275D3D7F" w14:textId="4B730959" w:rsidR="00BD2449" w:rsidRPr="00F60DE8" w:rsidRDefault="00BD2449" w:rsidP="003D322E">
            <w:pPr>
              <w:rPr>
                <w:sz w:val="20"/>
                <w:szCs w:val="20"/>
              </w:rPr>
            </w:pPr>
          </w:p>
        </w:tc>
      </w:tr>
    </w:tbl>
    <w:p w14:paraId="50465546" w14:textId="77777777" w:rsidR="003D0F0D" w:rsidRDefault="003D0F0D" w:rsidP="003D0F0D">
      <w:pPr>
        <w:spacing w:before="240"/>
      </w:pPr>
    </w:p>
    <w:p w14:paraId="508E8161" w14:textId="0FC5B954" w:rsidR="007A0787" w:rsidRPr="005F3CB0" w:rsidRDefault="00037DFD" w:rsidP="007A0787">
      <w:pPr>
        <w:rPr>
          <w:b/>
          <w:bCs/>
        </w:rPr>
      </w:pPr>
      <w:r w:rsidRPr="005F3CB0">
        <w:rPr>
          <w:b/>
          <w:bCs/>
        </w:rPr>
        <w:t>DE VISIE</w:t>
      </w:r>
      <w:r w:rsidR="005F3CB0" w:rsidRPr="005F3CB0">
        <w:rPr>
          <w:b/>
          <w:bCs/>
        </w:rPr>
        <w:t xml:space="preserve">, uitgedrukt in </w:t>
      </w:r>
      <w:r w:rsidR="000B5290" w:rsidRPr="005F3CB0">
        <w:rPr>
          <w:b/>
          <w:bCs/>
        </w:rPr>
        <w:t>WHY-HOW-WHAT</w:t>
      </w:r>
    </w:p>
    <w:p w14:paraId="6559276D" w14:textId="77777777" w:rsidR="00AE4C73" w:rsidRDefault="007A0787" w:rsidP="007A0787">
      <w:r w:rsidRPr="2B9A9048">
        <w:rPr>
          <w:b/>
          <w:bCs/>
        </w:rPr>
        <w:t>WHY</w:t>
      </w:r>
      <w:r w:rsidR="00037DFD">
        <w:t xml:space="preserve"> </w:t>
      </w:r>
    </w:p>
    <w:p w14:paraId="46EE36AE" w14:textId="530C1DA6" w:rsidR="00E151ED" w:rsidRDefault="00AE4C73" w:rsidP="007A0787">
      <w:r>
        <w:t xml:space="preserve">De masteropleidingen van FOO beogen </w:t>
      </w:r>
      <w:r w:rsidR="003306E9">
        <w:t xml:space="preserve">moderne en </w:t>
      </w:r>
      <w:r>
        <w:t xml:space="preserve">wendbare professionals op te leiden die in hoge mate zelfsturend zijn en die op verschillende plekken leren: offline en online; in een plenaire groep, in een leergroep, individueel en op hun werkplek. </w:t>
      </w:r>
      <w:r w:rsidR="00BD2449">
        <w:t xml:space="preserve">De masteropleidingen </w:t>
      </w:r>
      <w:r>
        <w:t xml:space="preserve">streven daarbij naar een optimale leeromgeving </w:t>
      </w:r>
      <w:r w:rsidR="003D7FE1">
        <w:t>die studenten maximaal activeert</w:t>
      </w:r>
      <w:r w:rsidR="0091710F">
        <w:t xml:space="preserve">. Daarbij is </w:t>
      </w:r>
      <w:r w:rsidR="007F390F">
        <w:t>ruimte voor</w:t>
      </w:r>
      <w:r w:rsidR="003D7FE1">
        <w:t xml:space="preserve"> veel</w:t>
      </w:r>
      <w:r w:rsidR="002E40A3">
        <w:t xml:space="preserve"> </w:t>
      </w:r>
      <w:r w:rsidR="00964A34">
        <w:t>wisselwerki</w:t>
      </w:r>
      <w:r w:rsidR="003D7FE1">
        <w:t>n</w:t>
      </w:r>
      <w:r w:rsidR="00964A34">
        <w:t xml:space="preserve">g tussen studenten en </w:t>
      </w:r>
      <w:r w:rsidR="00CD1F1B">
        <w:t>docenten</w:t>
      </w:r>
      <w:r w:rsidR="007F390F">
        <w:t>,</w:t>
      </w:r>
      <w:r w:rsidR="00964A34">
        <w:t xml:space="preserve"> en tussen studente</w:t>
      </w:r>
      <w:r w:rsidR="003D7FE1">
        <w:t>n</w:t>
      </w:r>
      <w:r w:rsidR="00964A34">
        <w:t xml:space="preserve"> onderling</w:t>
      </w:r>
      <w:r w:rsidR="00843201">
        <w:t>, zodat er van en met elkaar geleerd wordt</w:t>
      </w:r>
      <w:r>
        <w:t xml:space="preserve">. Dat betekent dat studenten </w:t>
      </w:r>
      <w:r w:rsidR="004D2EB5">
        <w:t>ervaring opdoen</w:t>
      </w:r>
      <w:r w:rsidR="008A700D">
        <w:t xml:space="preserve"> </w:t>
      </w:r>
      <w:r>
        <w:t xml:space="preserve">met </w:t>
      </w:r>
      <w:r w:rsidRPr="004F026C">
        <w:rPr>
          <w:i/>
          <w:iCs/>
        </w:rPr>
        <w:t>state-of-</w:t>
      </w:r>
      <w:proofErr w:type="spellStart"/>
      <w:r w:rsidRPr="004F026C">
        <w:rPr>
          <w:i/>
          <w:iCs/>
        </w:rPr>
        <w:t>the</w:t>
      </w:r>
      <w:proofErr w:type="spellEnd"/>
      <w:r w:rsidRPr="004F026C">
        <w:rPr>
          <w:i/>
          <w:iCs/>
        </w:rPr>
        <w:t>-art</w:t>
      </w:r>
      <w:r>
        <w:t xml:space="preserve"> kennis, </w:t>
      </w:r>
      <w:r w:rsidR="003306E9">
        <w:t xml:space="preserve">met een uitgebreid aanbod van </w:t>
      </w:r>
      <w:r>
        <w:t xml:space="preserve">methodes en </w:t>
      </w:r>
      <w:r w:rsidR="0059225F">
        <w:t xml:space="preserve">interactieve </w:t>
      </w:r>
      <w:r>
        <w:t>werkvormen</w:t>
      </w:r>
      <w:r w:rsidR="00DA070B">
        <w:t>,</w:t>
      </w:r>
      <w:r w:rsidR="003306E9">
        <w:t xml:space="preserve"> </w:t>
      </w:r>
      <w:r w:rsidR="0081480F">
        <w:t xml:space="preserve">en </w:t>
      </w:r>
      <w:r w:rsidR="003306E9">
        <w:t>ondersteund met technologie</w:t>
      </w:r>
      <w:r w:rsidR="000C6EFF">
        <w:t xml:space="preserve">. </w:t>
      </w:r>
      <w:r w:rsidR="00CF2865">
        <w:t>Studenten</w:t>
      </w:r>
      <w:r>
        <w:t xml:space="preserve"> leren</w:t>
      </w:r>
      <w:r w:rsidR="000C6EFF">
        <w:t xml:space="preserve"> bovendien</w:t>
      </w:r>
      <w:r>
        <w:t xml:space="preserve"> om daarmee kritisch om te gaan, zodat ze zelf kunnen afwegen wat wanneer opportuun i</w:t>
      </w:r>
      <w:r w:rsidR="002B77C1">
        <w:t>s, ook in het licht van hun eigen levenslange leren.</w:t>
      </w:r>
    </w:p>
    <w:p w14:paraId="1273C255" w14:textId="0AF7290B" w:rsidR="00AE4C73" w:rsidRPr="00AE4C73" w:rsidRDefault="007A0787" w:rsidP="007A0787">
      <w:pPr>
        <w:rPr>
          <w:b/>
          <w:bCs/>
        </w:rPr>
      </w:pPr>
      <w:r w:rsidRPr="2B9A9048">
        <w:rPr>
          <w:b/>
          <w:bCs/>
        </w:rPr>
        <w:t xml:space="preserve">HOW </w:t>
      </w:r>
    </w:p>
    <w:p w14:paraId="6D5FDC58" w14:textId="4D157962" w:rsidR="00AE4C73" w:rsidRPr="003306E9" w:rsidRDefault="00AE4C73" w:rsidP="2B9A9048">
      <w:r>
        <w:t xml:space="preserve">Dat betekent dat de </w:t>
      </w:r>
      <w:r w:rsidR="003306E9">
        <w:t xml:space="preserve">verschillende </w:t>
      </w:r>
      <w:r>
        <w:t xml:space="preserve">opleidingen allereerst </w:t>
      </w:r>
      <w:r w:rsidR="00BD2449">
        <w:t xml:space="preserve">zelf </w:t>
      </w:r>
      <w:r>
        <w:t xml:space="preserve">het goede voorbeeld geven door daadwerkelijk een </w:t>
      </w:r>
      <w:r w:rsidRPr="00CF2865">
        <w:rPr>
          <w:i/>
          <w:iCs/>
        </w:rPr>
        <w:t>state-of-</w:t>
      </w:r>
      <w:proofErr w:type="spellStart"/>
      <w:r w:rsidRPr="00CF2865">
        <w:rPr>
          <w:i/>
          <w:iCs/>
        </w:rPr>
        <w:t>the</w:t>
      </w:r>
      <w:proofErr w:type="spellEnd"/>
      <w:r w:rsidRPr="00CF2865">
        <w:rPr>
          <w:i/>
          <w:iCs/>
        </w:rPr>
        <w:t>-art</w:t>
      </w:r>
      <w:r>
        <w:t xml:space="preserve"> leeromgeving in te richten waarin </w:t>
      </w:r>
      <w:r w:rsidR="003306E9">
        <w:t>o</w:t>
      </w:r>
      <w:r w:rsidR="0059225F">
        <w:t>p</w:t>
      </w:r>
      <w:r w:rsidR="003306E9">
        <w:t xml:space="preserve"> systematische wijze </w:t>
      </w:r>
      <w:r>
        <w:t>de optimale mengvorm tussen offline en online</w:t>
      </w:r>
      <w:r w:rsidR="0059225F">
        <w:t xml:space="preserve"> leeractiviteiten</w:t>
      </w:r>
      <w:r>
        <w:t xml:space="preserve"> wordt gezocht</w:t>
      </w:r>
      <w:r w:rsidR="00D92867">
        <w:t xml:space="preserve"> en ger</w:t>
      </w:r>
      <w:r w:rsidR="00A17867">
        <w:t>e</w:t>
      </w:r>
      <w:r w:rsidR="00D92867">
        <w:t>aliseerd</w:t>
      </w:r>
      <w:r w:rsidR="003306E9">
        <w:t>. M</w:t>
      </w:r>
      <w:r>
        <w:t xml:space="preserve">et de studenten wordt </w:t>
      </w:r>
      <w:r w:rsidR="003306E9">
        <w:t xml:space="preserve">op </w:t>
      </w:r>
      <w:r w:rsidR="00A17867">
        <w:t xml:space="preserve">basis van deze ervaringen </w:t>
      </w:r>
      <w:r>
        <w:t>gereflecteerd</w:t>
      </w:r>
      <w:r w:rsidR="003306E9">
        <w:t>, om zo invulling te geven aan het idee van</w:t>
      </w:r>
      <w:r w:rsidR="003306E9" w:rsidRPr="2B9A9048">
        <w:rPr>
          <w:i/>
          <w:iCs/>
        </w:rPr>
        <w:t xml:space="preserve"> </w:t>
      </w:r>
      <w:proofErr w:type="spellStart"/>
      <w:r w:rsidR="003306E9" w:rsidRPr="2B9A9048">
        <w:rPr>
          <w:i/>
          <w:iCs/>
        </w:rPr>
        <w:t>practise</w:t>
      </w:r>
      <w:proofErr w:type="spellEnd"/>
      <w:r w:rsidR="003306E9" w:rsidRPr="2B9A9048">
        <w:rPr>
          <w:i/>
          <w:iCs/>
        </w:rPr>
        <w:t xml:space="preserve"> </w:t>
      </w:r>
      <w:proofErr w:type="spellStart"/>
      <w:r w:rsidR="003306E9" w:rsidRPr="2B9A9048">
        <w:rPr>
          <w:i/>
          <w:iCs/>
        </w:rPr>
        <w:t>what</w:t>
      </w:r>
      <w:proofErr w:type="spellEnd"/>
      <w:r w:rsidR="003306E9" w:rsidRPr="2B9A9048">
        <w:rPr>
          <w:i/>
          <w:iCs/>
        </w:rPr>
        <w:t xml:space="preserve"> </w:t>
      </w:r>
      <w:proofErr w:type="spellStart"/>
      <w:r w:rsidR="003306E9" w:rsidRPr="2B9A9048">
        <w:rPr>
          <w:i/>
          <w:iCs/>
        </w:rPr>
        <w:t>you</w:t>
      </w:r>
      <w:proofErr w:type="spellEnd"/>
      <w:r w:rsidR="003306E9" w:rsidRPr="2B9A9048">
        <w:rPr>
          <w:i/>
          <w:iCs/>
        </w:rPr>
        <w:t xml:space="preserve"> </w:t>
      </w:r>
      <w:proofErr w:type="spellStart"/>
      <w:r w:rsidR="003306E9" w:rsidRPr="2B9A9048">
        <w:rPr>
          <w:i/>
          <w:iCs/>
        </w:rPr>
        <w:t>preach</w:t>
      </w:r>
      <w:proofErr w:type="spellEnd"/>
      <w:r w:rsidR="003306E9">
        <w:t xml:space="preserve"> en zodat de student</w:t>
      </w:r>
      <w:r w:rsidR="00BD2449">
        <w:t>en</w:t>
      </w:r>
      <w:r w:rsidR="003306E9">
        <w:t xml:space="preserve"> een kritische houding k</w:t>
      </w:r>
      <w:r w:rsidR="00BD2449">
        <w:t>unnen</w:t>
      </w:r>
      <w:r w:rsidR="003306E9">
        <w:t xml:space="preserve"> ontwikkelen. Het is belangrijk de opleidingen daar zelf verantwoordelijkheid voor te laten dragen</w:t>
      </w:r>
      <w:r w:rsidR="0059225F">
        <w:t xml:space="preserve"> zodat</w:t>
      </w:r>
      <w:r w:rsidR="00F030F7">
        <w:t xml:space="preserve"> ook</w:t>
      </w:r>
      <w:r w:rsidR="009F0737">
        <w:t xml:space="preserve"> hun</w:t>
      </w:r>
      <w:r w:rsidR="0059225F">
        <w:t xml:space="preserve"> eigenaarschap geborgd wordt.</w:t>
      </w:r>
    </w:p>
    <w:p w14:paraId="15B372C5" w14:textId="6B1822D5" w:rsidR="0059225F" w:rsidRDefault="007A0787" w:rsidP="007A0787">
      <w:r w:rsidRPr="0059225F">
        <w:rPr>
          <w:b/>
          <w:bCs/>
        </w:rPr>
        <w:t>WHAT</w:t>
      </w:r>
      <w:r>
        <w:t xml:space="preserve"> </w:t>
      </w:r>
    </w:p>
    <w:p w14:paraId="19157CD2" w14:textId="37498DB0" w:rsidR="003F1123" w:rsidRDefault="0059225F" w:rsidP="007C62C1">
      <w:r>
        <w:t xml:space="preserve">Om bovenstaande ambities waar te kunnen maken is het </w:t>
      </w:r>
      <w:r w:rsidR="009A38DF">
        <w:t xml:space="preserve">ten eerste </w:t>
      </w:r>
      <w:r>
        <w:t xml:space="preserve">van belang dat alle opleiders </w:t>
      </w:r>
      <w:r w:rsidR="009A38DF">
        <w:t xml:space="preserve">zelf </w:t>
      </w:r>
      <w:r>
        <w:t>voldoende zijn toegerust: het kunnen optimaliseren van de leeromgeving vraagt om kennis, vaardigheden en</w:t>
      </w:r>
      <w:r w:rsidR="00692CE0">
        <w:t xml:space="preserve"> ook</w:t>
      </w:r>
      <w:r>
        <w:t xml:space="preserve"> een zekere attitude van de opleiders</w:t>
      </w:r>
      <w:r w:rsidR="00C164F0">
        <w:t>:</w:t>
      </w:r>
      <w:r w:rsidR="00C164F0" w:rsidRPr="00C164F0">
        <w:t xml:space="preserve"> </w:t>
      </w:r>
      <w:r w:rsidR="00C164F0">
        <w:t>e</w:t>
      </w:r>
      <w:r w:rsidR="00C164F0" w:rsidRPr="00C164F0">
        <w:t xml:space="preserve">en open </w:t>
      </w:r>
      <w:r w:rsidR="00C164F0">
        <w:t xml:space="preserve">en </w:t>
      </w:r>
      <w:r w:rsidR="00C164F0" w:rsidRPr="00C164F0">
        <w:t>positieve houding</w:t>
      </w:r>
      <w:r w:rsidR="002C65EA">
        <w:t xml:space="preserve"> en</w:t>
      </w:r>
      <w:r w:rsidR="00C164F0" w:rsidRPr="00C164F0">
        <w:t xml:space="preserve"> bereidheid om dingen uit te proberen</w:t>
      </w:r>
      <w:r w:rsidR="00D43113">
        <w:t>. Daartoe</w:t>
      </w:r>
      <w:r w:rsidR="007A2D27">
        <w:t xml:space="preserve"> </w:t>
      </w:r>
      <w:r w:rsidR="00660E73">
        <w:t>zijn</w:t>
      </w:r>
      <w:r w:rsidR="00D43113">
        <w:t xml:space="preserve"> r</w:t>
      </w:r>
      <w:r w:rsidR="46191C7C">
        <w:t>uimte</w:t>
      </w:r>
      <w:r w:rsidR="009F59AD">
        <w:t xml:space="preserve"> en </w:t>
      </w:r>
      <w:r w:rsidR="00660E73">
        <w:t>midd</w:t>
      </w:r>
      <w:r w:rsidR="00CD1F1B">
        <w:t>e</w:t>
      </w:r>
      <w:r w:rsidR="00660E73">
        <w:t>len</w:t>
      </w:r>
      <w:r w:rsidR="46191C7C">
        <w:t xml:space="preserve"> </w:t>
      </w:r>
      <w:r w:rsidR="002B1BBE">
        <w:t xml:space="preserve">nodig </w:t>
      </w:r>
      <w:r w:rsidR="007C62C1">
        <w:t xml:space="preserve">om te professionaliseren, om te experimenteren en </w:t>
      </w:r>
      <w:r w:rsidR="009F59AD">
        <w:t xml:space="preserve">om </w:t>
      </w:r>
      <w:r w:rsidR="007C62C1">
        <w:t xml:space="preserve">ervaringen uit te wisselen. </w:t>
      </w:r>
    </w:p>
    <w:p w14:paraId="627DED38" w14:textId="72C0155A" w:rsidR="009A38DF" w:rsidRDefault="0059225F" w:rsidP="007C62C1">
      <w:r>
        <w:t xml:space="preserve">Om </w:t>
      </w:r>
      <w:r w:rsidR="00FA22A6">
        <w:t>dit</w:t>
      </w:r>
      <w:r w:rsidR="65E265EA">
        <w:t xml:space="preserve"> proces</w:t>
      </w:r>
      <w:r>
        <w:t xml:space="preserve"> te ondersteunen zou elk van de masteropleidingen zelf een plan moeten uitwerken waarin uitgelegd wordt hoe deze ambities het best gediend zijn</w:t>
      </w:r>
      <w:r w:rsidR="00BD2449">
        <w:t xml:space="preserve">, ook in </w:t>
      </w:r>
      <w:r w:rsidR="009A38DF">
        <w:t>samenhang tussen de verschillende modules</w:t>
      </w:r>
      <w:r>
        <w:t xml:space="preserve">. Daarbij zouden bestaande </w:t>
      </w:r>
      <w:proofErr w:type="spellStart"/>
      <w:r w:rsidRPr="2B9A9048">
        <w:rPr>
          <w:i/>
          <w:iCs/>
        </w:rPr>
        <w:t>good</w:t>
      </w:r>
      <w:proofErr w:type="spellEnd"/>
      <w:r w:rsidRPr="2B9A9048">
        <w:rPr>
          <w:i/>
          <w:iCs/>
        </w:rPr>
        <w:t xml:space="preserve"> </w:t>
      </w:r>
      <w:proofErr w:type="spellStart"/>
      <w:r w:rsidRPr="2B9A9048">
        <w:rPr>
          <w:i/>
          <w:iCs/>
        </w:rPr>
        <w:t>practices</w:t>
      </w:r>
      <w:proofErr w:type="spellEnd"/>
      <w:r>
        <w:t xml:space="preserve"> gedeeld kunnen worden, bijvoorbeeld door </w:t>
      </w:r>
      <w:proofErr w:type="spellStart"/>
      <w:r w:rsidRPr="2B9A9048">
        <w:rPr>
          <w:i/>
          <w:iCs/>
        </w:rPr>
        <w:t>appreciative</w:t>
      </w:r>
      <w:proofErr w:type="spellEnd"/>
      <w:r w:rsidRPr="2B9A9048">
        <w:rPr>
          <w:i/>
          <w:iCs/>
        </w:rPr>
        <w:t xml:space="preserve"> </w:t>
      </w:r>
      <w:proofErr w:type="spellStart"/>
      <w:r w:rsidRPr="2B9A9048">
        <w:rPr>
          <w:i/>
          <w:iCs/>
        </w:rPr>
        <w:t>inquiry</w:t>
      </w:r>
      <w:proofErr w:type="spellEnd"/>
      <w:r>
        <w:t xml:space="preserve">. </w:t>
      </w:r>
      <w:r w:rsidR="009A38DF">
        <w:t xml:space="preserve">Dat zou goed het startpunt kunnen zijn van een plan om - waar opportuun - het didactisch repertoire van </w:t>
      </w:r>
      <w:r w:rsidR="00CD1F1B">
        <w:t xml:space="preserve">docenten </w:t>
      </w:r>
      <w:r w:rsidR="009A38DF">
        <w:t xml:space="preserve">uit te breiden, dan wel door uitwisseling, </w:t>
      </w:r>
      <w:r w:rsidR="009A38DF">
        <w:lastRenderedPageBreak/>
        <w:t xml:space="preserve">dan wel door professionaliseringsactiviteiten. </w:t>
      </w:r>
      <w:r>
        <w:t xml:space="preserve">De werkgroep adviseert een studiedag te organiseren waarin daarmee een begin gemaakt zou kunnen worden. </w:t>
      </w:r>
    </w:p>
    <w:p w14:paraId="54A123DC" w14:textId="2740C837" w:rsidR="0059225F" w:rsidRDefault="009A38DF" w:rsidP="007A0787">
      <w:r>
        <w:t>Daarbij adviseert de werkgroep te streven naar een praktijk waarin</w:t>
      </w:r>
      <w:r w:rsidR="0059225F">
        <w:t xml:space="preserve"> de ervaringen van de studenten </w:t>
      </w:r>
      <w:r>
        <w:t xml:space="preserve">op dit vlak </w:t>
      </w:r>
      <w:r w:rsidR="0059225F">
        <w:t>systematisch gehoord worden</w:t>
      </w:r>
      <w:r>
        <w:t xml:space="preserve"> als input voor het verder ontwikkelen van het curriculum.</w:t>
      </w:r>
    </w:p>
    <w:p w14:paraId="443BA636" w14:textId="77777777" w:rsidR="000B5290" w:rsidRDefault="000B5290" w:rsidP="007A0787"/>
    <w:sectPr w:rsidR="000B52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558FB" w14:textId="77777777" w:rsidR="00BA6A4B" w:rsidRDefault="00BA6A4B" w:rsidP="00BC1772">
      <w:pPr>
        <w:spacing w:after="0" w:line="240" w:lineRule="auto"/>
      </w:pPr>
      <w:r>
        <w:separator/>
      </w:r>
    </w:p>
  </w:endnote>
  <w:endnote w:type="continuationSeparator" w:id="0">
    <w:p w14:paraId="69828615" w14:textId="77777777" w:rsidR="00BA6A4B" w:rsidRDefault="00BA6A4B" w:rsidP="00BC1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17AFE" w14:textId="77777777" w:rsidR="00BA6A4B" w:rsidRDefault="00BA6A4B" w:rsidP="00BC1772">
      <w:pPr>
        <w:spacing w:after="0" w:line="240" w:lineRule="auto"/>
      </w:pPr>
      <w:r>
        <w:separator/>
      </w:r>
    </w:p>
  </w:footnote>
  <w:footnote w:type="continuationSeparator" w:id="0">
    <w:p w14:paraId="4292EDD1" w14:textId="77777777" w:rsidR="00BA6A4B" w:rsidRDefault="00BA6A4B" w:rsidP="00BC1772">
      <w:pPr>
        <w:spacing w:after="0" w:line="240" w:lineRule="auto"/>
      </w:pPr>
      <w:r>
        <w:continuationSeparator/>
      </w:r>
    </w:p>
  </w:footnote>
  <w:footnote w:id="1">
    <w:p w14:paraId="0510088B" w14:textId="4B3D3E38" w:rsidR="007A4359" w:rsidRPr="007A4359" w:rsidRDefault="007A4359">
      <w:pPr>
        <w:pStyle w:val="FootnoteText"/>
      </w:pPr>
      <w:r>
        <w:rPr>
          <w:rStyle w:val="FootnoteReference"/>
        </w:rPr>
        <w:footnoteRef/>
      </w:r>
      <w:r>
        <w:t xml:space="preserve"> Gekeken is onder andere naar de visie op </w:t>
      </w:r>
      <w:proofErr w:type="spellStart"/>
      <w:r>
        <w:t>Blended</w:t>
      </w:r>
      <w:proofErr w:type="spellEnd"/>
      <w:r>
        <w:t xml:space="preserve"> Learning zoals ontwikkel</w:t>
      </w:r>
      <w:r w:rsidR="00AE4C73">
        <w:t>d</w:t>
      </w:r>
      <w:r>
        <w:t xml:space="preserve"> door de UvA (</w:t>
      </w:r>
      <w:r w:rsidR="00037DFD">
        <w:t xml:space="preserve">Blend IT, Share IT) en stukken van de </w:t>
      </w:r>
      <w:proofErr w:type="spellStart"/>
      <w:r w:rsidR="00037DFD">
        <w:t>HvU</w:t>
      </w:r>
      <w:proofErr w:type="spellEnd"/>
      <w:r w:rsidR="00037DFD">
        <w:t xml:space="preserve"> en Hogeschool van Rotterdam. Ook hebben we een interview gelezen met </w:t>
      </w:r>
      <w:hyperlink r:id="rId1" w:history="1">
        <w:r w:rsidR="00037DFD" w:rsidRPr="00630B6F">
          <w:rPr>
            <w:rStyle w:val="Hyperlink"/>
          </w:rPr>
          <w:t>Nynke Bos</w:t>
        </w:r>
      </w:hyperlink>
      <w:r w:rsidR="00037DFD" w:rsidRPr="00037DFD">
        <w:t xml:space="preserve">, lector Teaching, Learning </w:t>
      </w:r>
      <w:proofErr w:type="spellStart"/>
      <w:r w:rsidR="00037DFD" w:rsidRPr="00037DFD">
        <w:t>and</w:t>
      </w:r>
      <w:proofErr w:type="spellEnd"/>
      <w:r w:rsidR="00037DFD" w:rsidRPr="00037DFD">
        <w:t xml:space="preserve"> Technology bij Hogeschool </w:t>
      </w:r>
      <w:proofErr w:type="spellStart"/>
      <w:r w:rsidR="00037DFD" w:rsidRPr="00037DFD">
        <w:t>Inholland</w:t>
      </w:r>
      <w:proofErr w:type="spellEnd"/>
      <w:r w:rsidR="00037DFD">
        <w:t>.</w:t>
      </w:r>
    </w:p>
  </w:footnote>
  <w:footnote w:id="2">
    <w:p w14:paraId="6315A0C8" w14:textId="01DCCBB5" w:rsidR="00D41591" w:rsidRPr="00D41591" w:rsidRDefault="00D41591">
      <w:pPr>
        <w:pStyle w:val="FootnoteText"/>
      </w:pPr>
      <w:r>
        <w:rPr>
          <w:rStyle w:val="FootnoteReference"/>
        </w:rPr>
        <w:footnoteRef/>
      </w:r>
      <w:r w:rsidRPr="00D41591">
        <w:rPr>
          <w:lang w:val="en-US"/>
        </w:rPr>
        <w:t xml:space="preserve"> </w:t>
      </w:r>
      <w:proofErr w:type="spellStart"/>
      <w:r w:rsidRPr="00D41591">
        <w:rPr>
          <w:lang w:val="en-US"/>
        </w:rPr>
        <w:t>Zie</w:t>
      </w:r>
      <w:proofErr w:type="spellEnd"/>
      <w:r w:rsidRPr="00D41591">
        <w:rPr>
          <w:lang w:val="en-US"/>
        </w:rPr>
        <w:t xml:space="preserve"> </w:t>
      </w:r>
      <w:proofErr w:type="spellStart"/>
      <w:r w:rsidRPr="00D41591">
        <w:rPr>
          <w:lang w:val="en-US"/>
        </w:rPr>
        <w:t>Bliuc</w:t>
      </w:r>
      <w:proofErr w:type="spellEnd"/>
      <w:r w:rsidRPr="00D41591">
        <w:rPr>
          <w:lang w:val="en-US"/>
        </w:rPr>
        <w:t xml:space="preserve">, A. M., Goodyear, P., and Ellis, R. A. (2007). Research focus and methodological choices in studies into students' experiences of blended learning in higher education. </w:t>
      </w:r>
      <w:hyperlink r:id="rId2" w:history="1">
        <w:r w:rsidRPr="008F57E8">
          <w:rPr>
            <w:rStyle w:val="Hyperlink"/>
            <w:i/>
            <w:iCs/>
          </w:rPr>
          <w:t xml:space="preserve">The Internet </w:t>
        </w:r>
        <w:proofErr w:type="spellStart"/>
        <w:r w:rsidRPr="008F57E8">
          <w:rPr>
            <w:rStyle w:val="Hyperlink"/>
            <w:i/>
            <w:iCs/>
          </w:rPr>
          <w:t>and</w:t>
        </w:r>
        <w:proofErr w:type="spellEnd"/>
        <w:r w:rsidRPr="008F57E8">
          <w:rPr>
            <w:rStyle w:val="Hyperlink"/>
            <w:i/>
            <w:iCs/>
          </w:rPr>
          <w:t xml:space="preserve"> </w:t>
        </w:r>
        <w:proofErr w:type="spellStart"/>
        <w:r w:rsidRPr="008F57E8">
          <w:rPr>
            <w:rStyle w:val="Hyperlink"/>
            <w:i/>
            <w:iCs/>
          </w:rPr>
          <w:t>Higher</w:t>
        </w:r>
        <w:proofErr w:type="spellEnd"/>
        <w:r w:rsidRPr="008F57E8">
          <w:rPr>
            <w:rStyle w:val="Hyperlink"/>
            <w:i/>
            <w:iCs/>
          </w:rPr>
          <w:t xml:space="preserve"> </w:t>
        </w:r>
        <w:proofErr w:type="spellStart"/>
        <w:r w:rsidRPr="008F57E8">
          <w:rPr>
            <w:rStyle w:val="Hyperlink"/>
            <w:i/>
            <w:iCs/>
          </w:rPr>
          <w:t>Education</w:t>
        </w:r>
        <w:proofErr w:type="spellEnd"/>
        <w:r w:rsidRPr="008F57E8">
          <w:rPr>
            <w:rStyle w:val="Hyperlink"/>
            <w:i/>
            <w:iCs/>
          </w:rPr>
          <w:t>, 10</w:t>
        </w:r>
        <w:r w:rsidRPr="008F57E8">
          <w:rPr>
            <w:rStyle w:val="Hyperlink"/>
          </w:rPr>
          <w:t>(4), 231-244</w:t>
        </w:r>
      </w:hyperlink>
      <w:r w:rsidRPr="00D41591">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06577"/>
    <w:multiLevelType w:val="hybridMultilevel"/>
    <w:tmpl w:val="A74CC35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A2125D8"/>
    <w:multiLevelType w:val="multilevel"/>
    <w:tmpl w:val="0E6EF6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B966FF"/>
    <w:multiLevelType w:val="hybridMultilevel"/>
    <w:tmpl w:val="A74CC35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36C6CF4"/>
    <w:multiLevelType w:val="hybridMultilevel"/>
    <w:tmpl w:val="57FA73CA"/>
    <w:lvl w:ilvl="0" w:tplc="57327322">
      <w:start w:val="3"/>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787"/>
    <w:rsid w:val="000008E1"/>
    <w:rsid w:val="00037DFD"/>
    <w:rsid w:val="000A3CCE"/>
    <w:rsid w:val="000B5290"/>
    <w:rsid w:val="000C6EFF"/>
    <w:rsid w:val="000D2202"/>
    <w:rsid w:val="00110A6F"/>
    <w:rsid w:val="00186ECB"/>
    <w:rsid w:val="00186EF7"/>
    <w:rsid w:val="001E0FED"/>
    <w:rsid w:val="00276AB0"/>
    <w:rsid w:val="00287857"/>
    <w:rsid w:val="002B1BBE"/>
    <w:rsid w:val="002B77C1"/>
    <w:rsid w:val="002C65EA"/>
    <w:rsid w:val="002E40A3"/>
    <w:rsid w:val="00305C41"/>
    <w:rsid w:val="003306E9"/>
    <w:rsid w:val="003C4F97"/>
    <w:rsid w:val="003C6BDD"/>
    <w:rsid w:val="003D0F0D"/>
    <w:rsid w:val="003D2BC6"/>
    <w:rsid w:val="003D7FE1"/>
    <w:rsid w:val="003F1123"/>
    <w:rsid w:val="00405690"/>
    <w:rsid w:val="00447208"/>
    <w:rsid w:val="00461980"/>
    <w:rsid w:val="004641D2"/>
    <w:rsid w:val="004C3E4C"/>
    <w:rsid w:val="004D2EB5"/>
    <w:rsid w:val="004F026C"/>
    <w:rsid w:val="005271EB"/>
    <w:rsid w:val="0054718B"/>
    <w:rsid w:val="005577A9"/>
    <w:rsid w:val="0059225F"/>
    <w:rsid w:val="005924A7"/>
    <w:rsid w:val="005957D9"/>
    <w:rsid w:val="005C12F6"/>
    <w:rsid w:val="005D1024"/>
    <w:rsid w:val="005F3CB0"/>
    <w:rsid w:val="00630B6F"/>
    <w:rsid w:val="006340EC"/>
    <w:rsid w:val="00657CB2"/>
    <w:rsid w:val="00660E73"/>
    <w:rsid w:val="0066646F"/>
    <w:rsid w:val="00692CE0"/>
    <w:rsid w:val="00693A7F"/>
    <w:rsid w:val="006B2B21"/>
    <w:rsid w:val="006E46F9"/>
    <w:rsid w:val="00775EE1"/>
    <w:rsid w:val="007A0787"/>
    <w:rsid w:val="007A13F0"/>
    <w:rsid w:val="007A2D27"/>
    <w:rsid w:val="007A4359"/>
    <w:rsid w:val="007C62C1"/>
    <w:rsid w:val="007F390F"/>
    <w:rsid w:val="007F624E"/>
    <w:rsid w:val="0081480F"/>
    <w:rsid w:val="00843201"/>
    <w:rsid w:val="0086495D"/>
    <w:rsid w:val="008A700D"/>
    <w:rsid w:val="008F57E8"/>
    <w:rsid w:val="0090673B"/>
    <w:rsid w:val="0091710F"/>
    <w:rsid w:val="00952EFC"/>
    <w:rsid w:val="00964A34"/>
    <w:rsid w:val="00977540"/>
    <w:rsid w:val="00980816"/>
    <w:rsid w:val="009971C2"/>
    <w:rsid w:val="009A0394"/>
    <w:rsid w:val="009A38DF"/>
    <w:rsid w:val="009B023D"/>
    <w:rsid w:val="009B518B"/>
    <w:rsid w:val="009D58B1"/>
    <w:rsid w:val="009F0737"/>
    <w:rsid w:val="009F59AD"/>
    <w:rsid w:val="00A04659"/>
    <w:rsid w:val="00A17867"/>
    <w:rsid w:val="00A418EF"/>
    <w:rsid w:val="00A6024B"/>
    <w:rsid w:val="00A670A6"/>
    <w:rsid w:val="00AD188F"/>
    <w:rsid w:val="00AE4C73"/>
    <w:rsid w:val="00BA6A4B"/>
    <w:rsid w:val="00BB6014"/>
    <w:rsid w:val="00BC1772"/>
    <w:rsid w:val="00BD2449"/>
    <w:rsid w:val="00C0EB38"/>
    <w:rsid w:val="00C164F0"/>
    <w:rsid w:val="00C75042"/>
    <w:rsid w:val="00C7579F"/>
    <w:rsid w:val="00CA25DD"/>
    <w:rsid w:val="00CD1F1B"/>
    <w:rsid w:val="00CD4605"/>
    <w:rsid w:val="00CD6CE7"/>
    <w:rsid w:val="00CF2865"/>
    <w:rsid w:val="00D41591"/>
    <w:rsid w:val="00D43113"/>
    <w:rsid w:val="00D612CB"/>
    <w:rsid w:val="00D869CC"/>
    <w:rsid w:val="00D92867"/>
    <w:rsid w:val="00D9550F"/>
    <w:rsid w:val="00DA070B"/>
    <w:rsid w:val="00DC77D9"/>
    <w:rsid w:val="00E151ED"/>
    <w:rsid w:val="00E53B5B"/>
    <w:rsid w:val="00E81CEB"/>
    <w:rsid w:val="00E83459"/>
    <w:rsid w:val="00F030F7"/>
    <w:rsid w:val="00F13BC4"/>
    <w:rsid w:val="00F27202"/>
    <w:rsid w:val="00F43933"/>
    <w:rsid w:val="00F60DE8"/>
    <w:rsid w:val="00F7019E"/>
    <w:rsid w:val="00F910DB"/>
    <w:rsid w:val="00F978A0"/>
    <w:rsid w:val="00FA22A6"/>
    <w:rsid w:val="00FA4F42"/>
    <w:rsid w:val="00FB1878"/>
    <w:rsid w:val="02C5D7B8"/>
    <w:rsid w:val="0456BF79"/>
    <w:rsid w:val="053C436A"/>
    <w:rsid w:val="08312CB2"/>
    <w:rsid w:val="0C517583"/>
    <w:rsid w:val="0CE6C376"/>
    <w:rsid w:val="0D182CBE"/>
    <w:rsid w:val="0DAEBC5F"/>
    <w:rsid w:val="115F2BE0"/>
    <w:rsid w:val="13604867"/>
    <w:rsid w:val="17B48F17"/>
    <w:rsid w:val="1A27FFB4"/>
    <w:rsid w:val="1A2F1C24"/>
    <w:rsid w:val="1DECF69D"/>
    <w:rsid w:val="1E8DF03C"/>
    <w:rsid w:val="209B2453"/>
    <w:rsid w:val="20FCDC40"/>
    <w:rsid w:val="236B59B1"/>
    <w:rsid w:val="23848A10"/>
    <w:rsid w:val="25DD3415"/>
    <w:rsid w:val="28E709D7"/>
    <w:rsid w:val="2AC6A23A"/>
    <w:rsid w:val="2B9A9048"/>
    <w:rsid w:val="2D65468F"/>
    <w:rsid w:val="2EF6DD5A"/>
    <w:rsid w:val="2FF0A9CA"/>
    <w:rsid w:val="3003DE72"/>
    <w:rsid w:val="301FD25B"/>
    <w:rsid w:val="33A42F59"/>
    <w:rsid w:val="34002E0D"/>
    <w:rsid w:val="35F6ADB1"/>
    <w:rsid w:val="365CC420"/>
    <w:rsid w:val="3B51CB78"/>
    <w:rsid w:val="3C935259"/>
    <w:rsid w:val="3D9E1C37"/>
    <w:rsid w:val="3EB1BA8A"/>
    <w:rsid w:val="3ED537EA"/>
    <w:rsid w:val="3FCAF31B"/>
    <w:rsid w:val="426F4188"/>
    <w:rsid w:val="45E95FAE"/>
    <w:rsid w:val="46191C7C"/>
    <w:rsid w:val="46210C42"/>
    <w:rsid w:val="46D611E3"/>
    <w:rsid w:val="492496DD"/>
    <w:rsid w:val="4B0098D0"/>
    <w:rsid w:val="5024476C"/>
    <w:rsid w:val="505E791E"/>
    <w:rsid w:val="51C017CD"/>
    <w:rsid w:val="5311E9AF"/>
    <w:rsid w:val="55E39030"/>
    <w:rsid w:val="57A709A2"/>
    <w:rsid w:val="57BCAC76"/>
    <w:rsid w:val="5D469273"/>
    <w:rsid w:val="5D810C26"/>
    <w:rsid w:val="5EA0C519"/>
    <w:rsid w:val="5F60A486"/>
    <w:rsid w:val="62443E91"/>
    <w:rsid w:val="63113798"/>
    <w:rsid w:val="639A40CE"/>
    <w:rsid w:val="6408347B"/>
    <w:rsid w:val="643F8F04"/>
    <w:rsid w:val="658C1E0B"/>
    <w:rsid w:val="65E265EA"/>
    <w:rsid w:val="664FA16E"/>
    <w:rsid w:val="6ABE0709"/>
    <w:rsid w:val="6CC3EB68"/>
    <w:rsid w:val="6D0523B1"/>
    <w:rsid w:val="6D6E4A2A"/>
    <w:rsid w:val="73DAD30A"/>
    <w:rsid w:val="7490F6CA"/>
    <w:rsid w:val="75E41196"/>
    <w:rsid w:val="77786DBF"/>
    <w:rsid w:val="784E7DC8"/>
    <w:rsid w:val="7C004882"/>
    <w:rsid w:val="7DE63A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C8CFC"/>
  <w15:chartTrackingRefBased/>
  <w15:docId w15:val="{D17D276F-4899-4AC1-ACF7-4047CFE40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787"/>
    <w:pPr>
      <w:ind w:left="720"/>
      <w:contextualSpacing/>
    </w:pPr>
  </w:style>
  <w:style w:type="paragraph" w:styleId="FootnoteText">
    <w:name w:val="footnote text"/>
    <w:basedOn w:val="Normal"/>
    <w:link w:val="FootnoteTextChar"/>
    <w:uiPriority w:val="99"/>
    <w:semiHidden/>
    <w:unhideWhenUsed/>
    <w:rsid w:val="00BC17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1772"/>
    <w:rPr>
      <w:sz w:val="20"/>
      <w:szCs w:val="20"/>
    </w:rPr>
  </w:style>
  <w:style w:type="character" w:styleId="FootnoteReference">
    <w:name w:val="footnote reference"/>
    <w:basedOn w:val="DefaultParagraphFont"/>
    <w:uiPriority w:val="99"/>
    <w:semiHidden/>
    <w:unhideWhenUsed/>
    <w:rsid w:val="00BC1772"/>
    <w:rPr>
      <w:vertAlign w:val="superscript"/>
    </w:rPr>
  </w:style>
  <w:style w:type="paragraph" w:styleId="BalloonText">
    <w:name w:val="Balloon Text"/>
    <w:basedOn w:val="Normal"/>
    <w:link w:val="BalloonTextChar"/>
    <w:uiPriority w:val="99"/>
    <w:semiHidden/>
    <w:unhideWhenUsed/>
    <w:rsid w:val="009A03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394"/>
    <w:rPr>
      <w:rFonts w:ascii="Segoe UI" w:hAnsi="Segoe UI" w:cs="Segoe UI"/>
      <w:sz w:val="18"/>
      <w:szCs w:val="18"/>
    </w:rPr>
  </w:style>
  <w:style w:type="character" w:styleId="Hyperlink">
    <w:name w:val="Hyperlink"/>
    <w:basedOn w:val="DefaultParagraphFont"/>
    <w:uiPriority w:val="99"/>
    <w:unhideWhenUsed/>
    <w:rsid w:val="00FA4F42"/>
    <w:rPr>
      <w:color w:val="0563C1" w:themeColor="hyperlink"/>
      <w:u w:val="single"/>
    </w:rPr>
  </w:style>
  <w:style w:type="character" w:styleId="UnresolvedMention">
    <w:name w:val="Unresolved Mention"/>
    <w:basedOn w:val="DefaultParagraphFont"/>
    <w:uiPriority w:val="99"/>
    <w:semiHidden/>
    <w:unhideWhenUsed/>
    <w:rsid w:val="00FA4F42"/>
    <w:rPr>
      <w:color w:val="605E5C"/>
      <w:shd w:val="clear" w:color="auto" w:fill="E1DFDD"/>
    </w:rPr>
  </w:style>
  <w:style w:type="table" w:styleId="TableGrid">
    <w:name w:val="Table Grid"/>
    <w:basedOn w:val="TableNormal"/>
    <w:uiPriority w:val="39"/>
    <w:rsid w:val="00D86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869CC"/>
    <w:rPr>
      <w:color w:val="954F72" w:themeColor="followedHyperlink"/>
      <w:u w:val="single"/>
    </w:rPr>
  </w:style>
  <w:style w:type="character" w:styleId="CommentReference">
    <w:name w:val="annotation reference"/>
    <w:basedOn w:val="DefaultParagraphFont"/>
    <w:uiPriority w:val="99"/>
    <w:semiHidden/>
    <w:unhideWhenUsed/>
    <w:rsid w:val="003D2BC6"/>
    <w:rPr>
      <w:sz w:val="16"/>
      <w:szCs w:val="16"/>
    </w:rPr>
  </w:style>
  <w:style w:type="paragraph" w:styleId="CommentText">
    <w:name w:val="annotation text"/>
    <w:basedOn w:val="Normal"/>
    <w:link w:val="CommentTextChar"/>
    <w:uiPriority w:val="99"/>
    <w:semiHidden/>
    <w:unhideWhenUsed/>
    <w:rsid w:val="003D2BC6"/>
    <w:pPr>
      <w:spacing w:line="240" w:lineRule="auto"/>
    </w:pPr>
    <w:rPr>
      <w:sz w:val="20"/>
      <w:szCs w:val="20"/>
    </w:rPr>
  </w:style>
  <w:style w:type="character" w:customStyle="1" w:styleId="CommentTextChar">
    <w:name w:val="Comment Text Char"/>
    <w:basedOn w:val="DefaultParagraphFont"/>
    <w:link w:val="CommentText"/>
    <w:uiPriority w:val="99"/>
    <w:semiHidden/>
    <w:rsid w:val="003D2BC6"/>
    <w:rPr>
      <w:sz w:val="20"/>
      <w:szCs w:val="20"/>
    </w:rPr>
  </w:style>
  <w:style w:type="paragraph" w:styleId="CommentSubject">
    <w:name w:val="annotation subject"/>
    <w:basedOn w:val="CommentText"/>
    <w:next w:val="CommentText"/>
    <w:link w:val="CommentSubjectChar"/>
    <w:uiPriority w:val="99"/>
    <w:semiHidden/>
    <w:unhideWhenUsed/>
    <w:rsid w:val="003D2BC6"/>
    <w:rPr>
      <w:b/>
      <w:bCs/>
    </w:rPr>
  </w:style>
  <w:style w:type="character" w:customStyle="1" w:styleId="CommentSubjectChar">
    <w:name w:val="Comment Subject Char"/>
    <w:basedOn w:val="CommentTextChar"/>
    <w:link w:val="CommentSubject"/>
    <w:uiPriority w:val="99"/>
    <w:semiHidden/>
    <w:rsid w:val="003D2BC6"/>
    <w:rPr>
      <w:b/>
      <w:bCs/>
      <w:sz w:val="20"/>
      <w:szCs w:val="20"/>
    </w:rPr>
  </w:style>
  <w:style w:type="paragraph" w:customStyle="1" w:styleId="xxmsolistparagraph">
    <w:name w:val="x_x_msolistparagraph"/>
    <w:basedOn w:val="Normal"/>
    <w:rsid w:val="003D2BC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xnormaltextrun">
    <w:name w:val="x_x_normaltextrun"/>
    <w:basedOn w:val="DefaultParagraphFont"/>
    <w:rsid w:val="003D2BC6"/>
  </w:style>
  <w:style w:type="character" w:customStyle="1" w:styleId="xxeop">
    <w:name w:val="x_x_eop"/>
    <w:basedOn w:val="DefaultParagraphFont"/>
    <w:rsid w:val="003D2BC6"/>
  </w:style>
  <w:style w:type="paragraph" w:customStyle="1" w:styleId="xxmsonormal">
    <w:name w:val="x_x_msonormal"/>
    <w:basedOn w:val="Normal"/>
    <w:rsid w:val="003D2BC6"/>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72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va.nl/over-de-hva/wie-wij-zijn/visie/visie.html" TargetMode="External"/><Relationship Id="rId5" Type="http://schemas.openxmlformats.org/officeDocument/2006/relationships/numbering" Target="numbering.xml"/><Relationship Id="rId15" Type="http://schemas.openxmlformats.org/officeDocument/2006/relationships/package" Target="embeddings/Microsoft_Word_Document.docx"/><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footnotes.xml.rels><?xml version="1.0" encoding="UTF-8" standalone="yes"?>
<Relationships xmlns="http://schemas.openxmlformats.org/package/2006/relationships"><Relationship Id="rId2" Type="http://schemas.openxmlformats.org/officeDocument/2006/relationships/hyperlink" Target="https://www.sciencedirect.com/science/article/pii/S1096751607000516" TargetMode="External"/><Relationship Id="rId1" Type="http://schemas.openxmlformats.org/officeDocument/2006/relationships/hyperlink" Target="https://www.inholland.nl/onderzoek/personen/onderzoek-nynke-b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3F27B36AC15DA4C89A4C8962FF4AB15" ma:contentTypeVersion="5" ma:contentTypeDescription="Create a new document." ma:contentTypeScope="" ma:versionID="e038b6bfaa0bd09b22c64aea640a4efe">
  <xsd:schema xmlns:xsd="http://www.w3.org/2001/XMLSchema" xmlns:xs="http://www.w3.org/2001/XMLSchema" xmlns:p="http://schemas.microsoft.com/office/2006/metadata/properties" xmlns:ns3="78c7adbf-a40d-454b-b70c-bf792f6766d8" xmlns:ns4="dbf26a1e-e3c0-4954-a2ce-b39461d6f28e" targetNamespace="http://schemas.microsoft.com/office/2006/metadata/properties" ma:root="true" ma:fieldsID="75659b7a9f21a5f8fbae15148a481c4c" ns3:_="" ns4:_="">
    <xsd:import namespace="78c7adbf-a40d-454b-b70c-bf792f6766d8"/>
    <xsd:import namespace="dbf26a1e-e3c0-4954-a2ce-b39461d6f28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7adbf-a40d-454b-b70c-bf792f676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f26a1e-e3c0-4954-a2ce-b39461d6f2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C02EF4-1308-4A9B-A6E9-91465E90440D}">
  <ds:schemaRefs>
    <ds:schemaRef ds:uri="http://schemas.openxmlformats.org/officeDocument/2006/bibliography"/>
  </ds:schemaRefs>
</ds:datastoreItem>
</file>

<file path=customXml/itemProps2.xml><?xml version="1.0" encoding="utf-8"?>
<ds:datastoreItem xmlns:ds="http://schemas.openxmlformats.org/officeDocument/2006/customXml" ds:itemID="{A857EA2E-1B32-4B42-A5E6-BC1CB534F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7adbf-a40d-454b-b70c-bf792f6766d8"/>
    <ds:schemaRef ds:uri="dbf26a1e-e3c0-4954-a2ce-b39461d6f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B8CBAD-13C8-4576-B8B1-1EC754ADBBED}">
  <ds:schemaRefs>
    <ds:schemaRef ds:uri="http://schemas.microsoft.com/sharepoint/v3/contenttype/forms"/>
  </ds:schemaRefs>
</ds:datastoreItem>
</file>

<file path=customXml/itemProps4.xml><?xml version="1.0" encoding="utf-8"?>
<ds:datastoreItem xmlns:ds="http://schemas.openxmlformats.org/officeDocument/2006/customXml" ds:itemID="{858C5C36-4394-43A5-BEC1-FA3C3FA762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1390</Words>
  <Characters>7651</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Koffeman</dc:creator>
  <cp:keywords/>
  <dc:description/>
  <cp:lastModifiedBy>Jan-Willem Doornenbal</cp:lastModifiedBy>
  <cp:revision>8</cp:revision>
  <dcterms:created xsi:type="dcterms:W3CDTF">2021-03-22T09:18:00Z</dcterms:created>
  <dcterms:modified xsi:type="dcterms:W3CDTF">2021-07-14T08:42:00Z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0x01010013F27B36AC15DA4C89A4C8962FF4AB15</vt:lpwstr>
  </property>
</Properties>
</file>